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6" w:rsidRDefault="00BB75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4017" w:dyaOrig="1332">
          <v:rect id="rectole0000000000" o:spid="_x0000_i1025" style="width:201pt;height:66.75pt" o:ole="" o:preferrelative="t" stroked="f">
            <v:imagedata r:id="rId4" o:title=""/>
          </v:rect>
          <o:OLEObject Type="Embed" ProgID="StaticMetafile" ShapeID="rectole0000000000" DrawAspect="Content" ObjectID="_1725430750" r:id="rId5"/>
        </w:object>
      </w:r>
    </w:p>
    <w:p w:rsidR="00BB7536" w:rsidRDefault="001F2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16.08.2022</w:t>
      </w:r>
    </w:p>
    <w:p w:rsidR="00BB7536" w:rsidRDefault="00BB7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B7536" w:rsidRDefault="00B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BB7536" w:rsidRDefault="001F2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Уточнен классификатор видов разрешенного использования земельных участков</w:t>
      </w:r>
    </w:p>
    <w:p w:rsidR="00BB7536" w:rsidRDefault="00BB75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BB7536" w:rsidRDefault="001F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В рамках рубрики «Изменения законодательства» </w:t>
      </w:r>
      <w:r>
        <w:rPr>
          <w:rFonts w:ascii="Times New Roman" w:eastAsia="Times New Roman" w:hAnsi="Times New Roman" w:cs="Times New Roman"/>
          <w:b/>
          <w:sz w:val="28"/>
        </w:rPr>
        <w:t>Управление Росреестра по Челябинской области информирует жителей региона о внесении изменений в классификатор видов разрешенного использования земельных участков.</w:t>
      </w:r>
      <w:proofErr w:type="gramEnd"/>
    </w:p>
    <w:p w:rsidR="00BB7536" w:rsidRDefault="00BB7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7536" w:rsidRDefault="001F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Классификатор видов разрешенного использования земельных участков уточнен Приказом Росреестр</w:t>
      </w:r>
      <w:r>
        <w:rPr>
          <w:rFonts w:ascii="Times New Roman" w:eastAsia="Times New Roman" w:hAnsi="Times New Roman" w:cs="Times New Roman"/>
          <w:sz w:val="28"/>
        </w:rPr>
        <w:t xml:space="preserve">а от 23.06.2022 №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/0246 «О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№ П/0412».</w:t>
      </w:r>
    </w:p>
    <w:p w:rsidR="00BB7536" w:rsidRDefault="001F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 данным приказом актуализирован перечень видов разрешенного использования земельных участков, расположенных на территории Российской Федерации. В частности, уточнено описание вида разрешенного использования под блокированную жилую застройку; разведение д</w:t>
      </w:r>
      <w:r>
        <w:rPr>
          <w:rFonts w:ascii="Times New Roman" w:eastAsia="Times New Roman" w:hAnsi="Times New Roman" w:cs="Times New Roman"/>
          <w:sz w:val="28"/>
        </w:rPr>
        <w:t>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отдыха.</w:t>
      </w:r>
    </w:p>
    <w:p w:rsidR="00BB7536" w:rsidRDefault="001F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на законодательном уровне закреплены новые н</w:t>
      </w:r>
      <w:r>
        <w:rPr>
          <w:rFonts w:ascii="Times New Roman" w:eastAsia="Times New Roman" w:hAnsi="Times New Roman" w:cs="Times New Roman"/>
          <w:sz w:val="28"/>
        </w:rPr>
        <w:t xml:space="preserve">аименования видов разрешенного использования земельных участков: стоянка транспортных средств;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фарфоро-фаянсовая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промышленность; электронная промышленность; ювелирная промышленность; земельные участки, входящие в состав общего имущества собственников индив</w:t>
      </w:r>
      <w:r>
        <w:rPr>
          <w:rFonts w:ascii="Times New Roman" w:eastAsia="Times New Roman" w:hAnsi="Times New Roman" w:cs="Times New Roman"/>
          <w:sz w:val="28"/>
        </w:rPr>
        <w:t>идуальных жилых домов в малоэтажном жилом комплексе.</w:t>
      </w:r>
    </w:p>
    <w:p w:rsidR="00BB7536" w:rsidRDefault="00BB7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B7536" w:rsidRDefault="001F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Более подробно с документом можно ознакомиться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портале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информации.</w:t>
      </w:r>
    </w:p>
    <w:p w:rsidR="00BB7536" w:rsidRDefault="00BB7536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8"/>
        </w:rPr>
      </w:pPr>
    </w:p>
    <w:p w:rsidR="00BB7536" w:rsidRDefault="001F2772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</w:rPr>
        <w:t>Аргаяшский отдел Управления Росреестра и Кадастровой палаты по Челябинской области</w:t>
      </w:r>
    </w:p>
    <w:p w:rsidR="00BB7536" w:rsidRDefault="00BB7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536"/>
    <w:rsid w:val="001F2772"/>
    <w:rsid w:val="00BB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2022-09-23T04:33:00Z</dcterms:created>
  <dcterms:modified xsi:type="dcterms:W3CDTF">2022-09-23T04:33:00Z</dcterms:modified>
</cp:coreProperties>
</file>