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5B" w:rsidRPr="009E289E" w:rsidRDefault="00765F5B" w:rsidP="00765F5B">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765F5B" w:rsidRPr="009E289E" w:rsidRDefault="00765F5B" w:rsidP="00765F5B">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w:t>
      </w:r>
      <w:bookmarkStart w:id="0" w:name="_GoBack"/>
      <w:bookmarkEnd w:id="0"/>
      <w:r w:rsidRPr="009E289E">
        <w:rPr>
          <w:rFonts w:ascii="Times New Roman" w:hAnsi="Times New Roman"/>
          <w:b/>
          <w:sz w:val="44"/>
          <w:szCs w:val="44"/>
        </w:rPr>
        <w:t>ьной защиты Российской Федерации</w:t>
      </w: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p>
    <w:p w:rsidR="00765F5B" w:rsidRPr="009E289E" w:rsidRDefault="00765F5B" w:rsidP="00765F5B">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2020</w:t>
      </w:r>
    </w:p>
    <w:p w:rsidR="00765F5B" w:rsidRDefault="00765F5B" w:rsidP="00765F5B">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765F5B" w:rsidRDefault="00765F5B" w:rsidP="00765F5B">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765F5B" w:rsidRPr="00A26908" w:rsidRDefault="00765F5B" w:rsidP="00765F5B">
      <w:pPr>
        <w:jc w:val="center"/>
        <w:rPr>
          <w:rFonts w:ascii="Times New Roman" w:hAnsi="Times New Roman"/>
          <w:b/>
          <w:sz w:val="28"/>
          <w:szCs w:val="28"/>
        </w:rPr>
      </w:pPr>
    </w:p>
    <w:p w:rsidR="00765F5B" w:rsidRDefault="00765F5B" w:rsidP="00765F5B">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765F5B" w:rsidRDefault="00765F5B" w:rsidP="00765F5B">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765F5B" w:rsidRDefault="00765F5B" w:rsidP="00765F5B">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765F5B" w:rsidRDefault="00765F5B" w:rsidP="00765F5B">
      <w:pPr>
        <w:pStyle w:val="aa"/>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коронавирусной инфекции</w:t>
      </w:r>
      <w:r>
        <w:rPr>
          <w:rFonts w:ascii="Times New Roman" w:hAnsi="Times New Roman"/>
          <w:sz w:val="28"/>
          <w:szCs w:val="28"/>
        </w:rPr>
        <w:t>.</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765F5B" w:rsidRDefault="00765F5B" w:rsidP="00765F5B">
      <w:pPr>
        <w:pStyle w:val="aa"/>
        <w:numPr>
          <w:ilvl w:val="0"/>
          <w:numId w:val="24"/>
        </w:numPr>
        <w:ind w:left="0" w:firstLine="709"/>
        <w:rPr>
          <w:rFonts w:ascii="Times New Roman" w:hAnsi="Times New Roman"/>
          <w:sz w:val="28"/>
          <w:szCs w:val="28"/>
        </w:rPr>
      </w:pPr>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765F5B" w:rsidRPr="009E289E" w:rsidRDefault="00765F5B" w:rsidP="00765F5B">
      <w:pPr>
        <w:pStyle w:val="aa"/>
        <w:numPr>
          <w:ilvl w:val="0"/>
          <w:numId w:val="24"/>
        </w:numPr>
        <w:ind w:left="0" w:firstLine="709"/>
        <w:rPr>
          <w:rFonts w:ascii="Times New Roman" w:hAnsi="Times New Roman"/>
          <w:sz w:val="28"/>
          <w:szCs w:val="28"/>
        </w:rPr>
      </w:pPr>
      <w:r w:rsidRPr="009E289E">
        <w:rPr>
          <w:rFonts w:ascii="Times New Roman" w:hAnsi="Times New Roman"/>
          <w:sz w:val="28"/>
          <w:szCs w:val="28"/>
        </w:rPr>
        <w:t xml:space="preserve">Положения Методических рекомендаций в целом актуализированы </w:t>
      </w:r>
      <w:r w:rsidRPr="009E289E">
        <w:rPr>
          <w:rFonts w:ascii="Times New Roman" w:hAnsi="Times New Roman"/>
          <w:sz w:val="28"/>
          <w:szCs w:val="28"/>
        </w:rPr>
        <w:br/>
        <w:t>с учетом изменений нормативных правовых актов Российской Федерации.</w:t>
      </w:r>
    </w:p>
    <w:p w:rsidR="00765F5B" w:rsidRDefault="00765F5B" w:rsidP="00765F5B">
      <w:pPr>
        <w:ind w:firstLine="0"/>
        <w:jc w:val="left"/>
        <w:rPr>
          <w:rFonts w:ascii="Times New Roman" w:hAnsi="Times New Roman"/>
          <w:b/>
          <w:sz w:val="28"/>
          <w:szCs w:val="28"/>
        </w:rPr>
      </w:pPr>
      <w:r>
        <w:rPr>
          <w:rFonts w:ascii="Times New Roman" w:hAnsi="Times New Roman"/>
          <w:b/>
          <w:sz w:val="28"/>
          <w:szCs w:val="28"/>
        </w:rPr>
        <w:br w:type="page"/>
      </w: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lastRenderedPageBreak/>
        <w:t>МЕТОДИЧЕСКИЕ РЕКОМЕНДАЦИИ</w:t>
      </w: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765F5B" w:rsidRPr="006F589C" w:rsidRDefault="00765F5B" w:rsidP="00765F5B">
      <w:pPr>
        <w:ind w:firstLine="0"/>
        <w:jc w:val="center"/>
        <w:rPr>
          <w:rFonts w:ascii="Times New Roman" w:hAnsi="Times New Roman"/>
          <w:sz w:val="28"/>
          <w:szCs w:val="28"/>
        </w:rPr>
      </w:pPr>
      <w:r w:rsidRPr="006F589C">
        <w:rPr>
          <w:rFonts w:ascii="Times New Roman" w:hAnsi="Times New Roman"/>
          <w:sz w:val="28"/>
          <w:szCs w:val="28"/>
        </w:rPr>
        <w:t>в 2021 году (за отчетный 2020 год)</w:t>
      </w:r>
    </w:p>
    <w:p w:rsidR="00765F5B" w:rsidRPr="006F589C" w:rsidRDefault="00765F5B" w:rsidP="00765F5B">
      <w:pPr>
        <w:ind w:firstLine="0"/>
        <w:jc w:val="center"/>
        <w:rPr>
          <w:rFonts w:ascii="Times New Roman" w:hAnsi="Times New Roman"/>
          <w:sz w:val="28"/>
          <w:szCs w:val="28"/>
        </w:rPr>
      </w:pP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6"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xml:space="preserve">,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65F5B" w:rsidRPr="006F589C" w:rsidRDefault="00765F5B" w:rsidP="00765F5B">
      <w:pPr>
        <w:autoSpaceDE w:val="0"/>
        <w:autoSpaceDN w:val="0"/>
        <w:adjustRightInd w:val="0"/>
        <w:ind w:firstLine="567"/>
        <w:rPr>
          <w:rFonts w:ascii="Times New Roman" w:hAnsi="Times New Roman"/>
          <w:sz w:val="28"/>
          <w:szCs w:val="28"/>
        </w:rPr>
      </w:pPr>
    </w:p>
    <w:p w:rsidR="00765F5B" w:rsidRPr="006F589C" w:rsidRDefault="00765F5B" w:rsidP="00765F5B">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765F5B" w:rsidRPr="006F589C" w:rsidRDefault="00765F5B" w:rsidP="00765F5B">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765F5B" w:rsidRPr="006F589C" w:rsidRDefault="00765F5B" w:rsidP="00765F5B">
      <w:pPr>
        <w:jc w:val="center"/>
        <w:rPr>
          <w:rFonts w:ascii="Times New Roman" w:hAnsi="Times New Roman"/>
          <w:sz w:val="28"/>
          <w:szCs w:val="28"/>
        </w:rPr>
      </w:pP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765F5B" w:rsidRPr="006F589C" w:rsidRDefault="00765F5B" w:rsidP="00765F5B">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65F5B" w:rsidRPr="006F589C" w:rsidRDefault="00765F5B" w:rsidP="00765F5B">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765F5B" w:rsidRPr="006F589C" w:rsidRDefault="00765F5B" w:rsidP="00765F5B">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65F5B" w:rsidRPr="006F589C" w:rsidRDefault="00765F5B" w:rsidP="00765F5B">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6F589C">
          <w:t>перечень</w:t>
        </w:r>
      </w:hyperlink>
      <w:r w:rsidRPr="006F589C">
        <w:t>, утвержденный Советом директоров Центрального банка Российской Федерации;</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65F5B" w:rsidRPr="006F589C" w:rsidRDefault="00765F5B" w:rsidP="00765F5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765F5B" w:rsidRPr="006F589C" w:rsidRDefault="00765F5B" w:rsidP="00765F5B">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65F5B" w:rsidRPr="006F589C" w:rsidRDefault="00765F5B" w:rsidP="00765F5B">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765F5B" w:rsidRPr="006F589C" w:rsidRDefault="00765F5B" w:rsidP="00765F5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765F5B" w:rsidRPr="006F589C" w:rsidRDefault="00765F5B" w:rsidP="00765F5B">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765F5B" w:rsidRPr="006F589C" w:rsidRDefault="00765F5B" w:rsidP="00765F5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65F5B" w:rsidRPr="006F589C" w:rsidRDefault="00765F5B" w:rsidP="00765F5B">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765F5B" w:rsidRPr="006F589C" w:rsidRDefault="00765F5B" w:rsidP="00765F5B">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65F5B" w:rsidRPr="006F589C" w:rsidRDefault="00765F5B" w:rsidP="00765F5B">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765F5B" w:rsidRPr="006F589C" w:rsidRDefault="00765F5B" w:rsidP="00765F5B">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765F5B" w:rsidRPr="006F589C" w:rsidRDefault="00765F5B" w:rsidP="00765F5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65F5B" w:rsidRPr="006F589C" w:rsidRDefault="00765F5B" w:rsidP="00765F5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65F5B" w:rsidRPr="006F589C" w:rsidRDefault="00765F5B" w:rsidP="00765F5B">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765F5B" w:rsidRPr="006F589C" w:rsidRDefault="00765F5B" w:rsidP="00765F5B">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65F5B" w:rsidRPr="006F589C" w:rsidRDefault="00765F5B" w:rsidP="00765F5B">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65F5B" w:rsidRPr="006F589C" w:rsidRDefault="00765F5B" w:rsidP="00765F5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65F5B" w:rsidRPr="006F589C" w:rsidRDefault="00765F5B" w:rsidP="00765F5B">
      <w:pPr>
        <w:tabs>
          <w:tab w:val="left" w:pos="567"/>
          <w:tab w:val="left" w:pos="1276"/>
        </w:tabs>
        <w:ind w:firstLine="567"/>
        <w:rPr>
          <w:rFonts w:ascii="Times New Roman" w:hAnsi="Times New Roman"/>
          <w:b/>
          <w:sz w:val="28"/>
          <w:szCs w:val="28"/>
        </w:rPr>
      </w:pPr>
    </w:p>
    <w:p w:rsidR="00765F5B" w:rsidRPr="006F589C" w:rsidRDefault="00765F5B" w:rsidP="00765F5B">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65F5B" w:rsidRPr="006F589C" w:rsidRDefault="00765F5B" w:rsidP="00765F5B">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65F5B" w:rsidRPr="006F589C" w:rsidRDefault="00765F5B" w:rsidP="00765F5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65F5B" w:rsidRPr="006F589C" w:rsidRDefault="00765F5B" w:rsidP="00765F5B">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765F5B" w:rsidRPr="006F589C" w:rsidRDefault="00765F5B" w:rsidP="00765F5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65F5B" w:rsidRPr="006F589C" w:rsidRDefault="00765F5B" w:rsidP="00765F5B">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765F5B" w:rsidRPr="006F589C" w:rsidRDefault="00765F5B" w:rsidP="00765F5B">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765F5B" w:rsidRPr="006F589C" w:rsidRDefault="00765F5B" w:rsidP="00765F5B">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765F5B" w:rsidRPr="006F589C" w:rsidRDefault="00765F5B" w:rsidP="00765F5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65F5B" w:rsidRPr="006F589C" w:rsidRDefault="00765F5B" w:rsidP="00765F5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765F5B" w:rsidRPr="006F589C" w:rsidTr="004D14E8">
        <w:tc>
          <w:tcPr>
            <w:tcW w:w="10348" w:type="dxa"/>
            <w:gridSpan w:val="2"/>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765F5B" w:rsidRPr="006F589C" w:rsidTr="004D14E8">
        <w:tc>
          <w:tcPr>
            <w:tcW w:w="3119" w:type="dxa"/>
            <w:shd w:val="clear" w:color="auto" w:fill="auto"/>
          </w:tcPr>
          <w:p w:rsidR="00765F5B" w:rsidRPr="006F589C" w:rsidRDefault="00765F5B" w:rsidP="004D14E8">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765F5B" w:rsidRPr="006F589C" w:rsidTr="004D14E8">
        <w:tc>
          <w:tcPr>
            <w:tcW w:w="3119"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765F5B" w:rsidRPr="006F589C" w:rsidTr="004D14E8">
        <w:tc>
          <w:tcPr>
            <w:tcW w:w="10348" w:type="dxa"/>
            <w:gridSpan w:val="2"/>
            <w:shd w:val="clear" w:color="auto" w:fill="auto"/>
          </w:tcPr>
          <w:p w:rsidR="00765F5B" w:rsidRPr="006F589C" w:rsidRDefault="00765F5B" w:rsidP="004D14E8">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65F5B" w:rsidRPr="006F589C" w:rsidTr="004D14E8">
        <w:trPr>
          <w:trHeight w:val="660"/>
        </w:trPr>
        <w:tc>
          <w:tcPr>
            <w:tcW w:w="3119" w:type="dxa"/>
            <w:shd w:val="clear" w:color="auto" w:fill="auto"/>
          </w:tcPr>
          <w:p w:rsidR="00765F5B" w:rsidRPr="006F589C" w:rsidRDefault="00765F5B" w:rsidP="004D14E8">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765F5B" w:rsidRPr="006F589C" w:rsidRDefault="00765F5B" w:rsidP="004D14E8">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765F5B" w:rsidRPr="006F589C" w:rsidTr="004D14E8">
        <w:trPr>
          <w:trHeight w:val="131"/>
        </w:trPr>
        <w:tc>
          <w:tcPr>
            <w:tcW w:w="3119" w:type="dxa"/>
            <w:shd w:val="clear" w:color="auto" w:fill="auto"/>
          </w:tcPr>
          <w:p w:rsidR="00765F5B" w:rsidRPr="006F589C" w:rsidRDefault="00765F5B" w:rsidP="004D14E8">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765F5B" w:rsidRPr="006F589C" w:rsidRDefault="00765F5B" w:rsidP="004D14E8">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765F5B" w:rsidRPr="006F589C" w:rsidRDefault="00765F5B" w:rsidP="00765F5B">
      <w:pPr>
        <w:pStyle w:val="aa"/>
        <w:tabs>
          <w:tab w:val="left" w:pos="1134"/>
        </w:tabs>
        <w:ind w:left="709" w:firstLine="851"/>
        <w:rPr>
          <w:rFonts w:ascii="Times New Roman" w:hAnsi="Times New Roman"/>
          <w:sz w:val="28"/>
          <w:szCs w:val="28"/>
        </w:rPr>
      </w:pPr>
    </w:p>
    <w:p w:rsidR="00765F5B" w:rsidRPr="006F589C" w:rsidRDefault="00765F5B" w:rsidP="00765F5B">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65F5B" w:rsidRPr="006F589C" w:rsidRDefault="00765F5B" w:rsidP="00765F5B">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765F5B" w:rsidRPr="006F589C" w:rsidRDefault="00765F5B" w:rsidP="00765F5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65F5B" w:rsidRPr="006F589C" w:rsidTr="004D14E8">
        <w:trPr>
          <w:trHeight w:val="435"/>
        </w:trPr>
        <w:tc>
          <w:tcPr>
            <w:tcW w:w="10348" w:type="dxa"/>
            <w:gridSpan w:val="2"/>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Pr="006F589C">
              <w:rPr>
                <w:rFonts w:ascii="Times New Roman" w:hAnsi="Times New Roman"/>
                <w:sz w:val="28"/>
                <w:szCs w:val="28"/>
              </w:rPr>
              <w:lastRenderedPageBreak/>
              <w:t>2020 года</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дату (31 декабря 2020 года) служащий (работник) не состоял в браке</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765F5B" w:rsidRPr="006F589C" w:rsidTr="004D14E8">
        <w:trPr>
          <w:trHeight w:val="435"/>
        </w:trPr>
        <w:tc>
          <w:tcPr>
            <w:tcW w:w="10348" w:type="dxa"/>
            <w:gridSpan w:val="2"/>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765F5B" w:rsidRPr="006F589C" w:rsidTr="004D14E8">
        <w:trPr>
          <w:trHeight w:val="435"/>
        </w:trPr>
        <w:tc>
          <w:tcPr>
            <w:tcW w:w="3147"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765F5B" w:rsidRPr="006F589C" w:rsidRDefault="00765F5B" w:rsidP="00765F5B">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765F5B" w:rsidRPr="006F589C" w:rsidRDefault="00765F5B" w:rsidP="00765F5B">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65F5B" w:rsidRPr="006F589C" w:rsidRDefault="00765F5B" w:rsidP="00765F5B">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65F5B" w:rsidRPr="006F589C" w:rsidRDefault="00765F5B" w:rsidP="00765F5B">
      <w:pPr>
        <w:ind w:firstLine="567"/>
        <w:rPr>
          <w:rFonts w:ascii="Times New Roman" w:hAnsi="Times New Roman"/>
          <w:sz w:val="28"/>
          <w:szCs w:val="28"/>
        </w:rPr>
      </w:pP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765F5B" w:rsidRPr="006F589C" w:rsidRDefault="00765F5B" w:rsidP="00765F5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765F5B" w:rsidRPr="006F589C" w:rsidTr="004D14E8">
        <w:trPr>
          <w:trHeight w:val="435"/>
        </w:trPr>
        <w:tc>
          <w:tcPr>
            <w:tcW w:w="10348" w:type="dxa"/>
            <w:gridSpan w:val="2"/>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 21 мая 2020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 30 декабря 2020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765F5B" w:rsidRPr="006F589C" w:rsidTr="004D14E8">
        <w:trPr>
          <w:trHeight w:val="435"/>
        </w:trPr>
        <w:tc>
          <w:tcPr>
            <w:tcW w:w="10348" w:type="dxa"/>
            <w:gridSpan w:val="2"/>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765F5B" w:rsidRPr="006F589C" w:rsidTr="004D14E8">
        <w:trPr>
          <w:trHeight w:val="435"/>
        </w:trPr>
        <w:tc>
          <w:tcPr>
            <w:tcW w:w="311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65F5B" w:rsidRPr="006F589C" w:rsidRDefault="00765F5B" w:rsidP="00765F5B">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65F5B" w:rsidRPr="006F589C" w:rsidRDefault="00765F5B" w:rsidP="00765F5B">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765F5B" w:rsidRPr="006F589C" w:rsidRDefault="00765F5B" w:rsidP="00765F5B">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765F5B" w:rsidRPr="006F589C" w:rsidRDefault="00765F5B" w:rsidP="00765F5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765F5B" w:rsidRPr="006F589C" w:rsidTr="004D14E8">
        <w:tc>
          <w:tcPr>
            <w:tcW w:w="3223"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65F5B" w:rsidRPr="006F589C" w:rsidTr="004D14E8">
        <w:tc>
          <w:tcPr>
            <w:tcW w:w="3223"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65F5B" w:rsidRPr="006F589C" w:rsidTr="004D14E8">
        <w:tc>
          <w:tcPr>
            <w:tcW w:w="3223"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65F5B" w:rsidRPr="006F589C" w:rsidTr="004D14E8">
        <w:tc>
          <w:tcPr>
            <w:tcW w:w="3223" w:type="dxa"/>
            <w:tcBorders>
              <w:bottom w:val="single" w:sz="4" w:space="0" w:color="auto"/>
            </w:tcBorders>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765F5B" w:rsidRPr="006F589C" w:rsidTr="004D14E8">
        <w:tc>
          <w:tcPr>
            <w:tcW w:w="3223" w:type="dxa"/>
            <w:shd w:val="clear" w:color="auto" w:fill="FFFFFF"/>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765F5B" w:rsidRPr="006F589C" w:rsidRDefault="00765F5B" w:rsidP="004D14E8">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765F5B" w:rsidRPr="006F589C" w:rsidTr="004D14E8">
        <w:tc>
          <w:tcPr>
            <w:tcW w:w="3223" w:type="dxa"/>
            <w:shd w:val="clear" w:color="auto" w:fill="FFFFFF"/>
          </w:tcPr>
          <w:p w:rsidR="00765F5B" w:rsidRPr="006F589C" w:rsidRDefault="00765F5B" w:rsidP="004D14E8">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65F5B" w:rsidRPr="006F589C" w:rsidRDefault="00765F5B" w:rsidP="004D14E8">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65F5B" w:rsidRPr="006F589C" w:rsidRDefault="00765F5B" w:rsidP="00765F5B">
      <w:pPr>
        <w:rPr>
          <w:rFonts w:ascii="Times New Roman" w:hAnsi="Times New Roman"/>
          <w:sz w:val="28"/>
          <w:szCs w:val="28"/>
        </w:rPr>
      </w:pP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65F5B" w:rsidRPr="006F589C" w:rsidRDefault="00765F5B" w:rsidP="00765F5B">
      <w:pPr>
        <w:ind w:firstLine="851"/>
        <w:rPr>
          <w:rFonts w:ascii="Times New Roman" w:hAnsi="Times New Roman"/>
          <w:sz w:val="28"/>
          <w:szCs w:val="28"/>
        </w:rPr>
      </w:pPr>
      <w:r w:rsidRPr="006F589C">
        <w:rPr>
          <w:rFonts w:ascii="Times New Roman" w:hAnsi="Times New Roman"/>
          <w:sz w:val="28"/>
          <w:szCs w:val="28"/>
        </w:rPr>
        <w:br w:type="page"/>
      </w:r>
    </w:p>
    <w:p w:rsidR="00765F5B" w:rsidRPr="006F589C" w:rsidRDefault="00765F5B" w:rsidP="00765F5B">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765F5B" w:rsidRPr="006F589C" w:rsidRDefault="00765F5B" w:rsidP="00765F5B">
      <w:pPr>
        <w:autoSpaceDE w:val="0"/>
        <w:autoSpaceDN w:val="0"/>
        <w:adjustRightInd w:val="0"/>
        <w:ind w:firstLine="851"/>
        <w:jc w:val="center"/>
        <w:rPr>
          <w:rFonts w:ascii="Times New Roman" w:hAnsi="Times New Roman"/>
          <w:b/>
          <w:sz w:val="28"/>
          <w:szCs w:val="28"/>
        </w:rPr>
      </w:pP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3"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4"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65F5B" w:rsidRPr="006F589C" w:rsidRDefault="00765F5B" w:rsidP="00765F5B">
      <w:pPr>
        <w:pStyle w:val="aa"/>
        <w:tabs>
          <w:tab w:val="left" w:pos="851"/>
        </w:tabs>
        <w:ind w:left="0" w:firstLine="0"/>
        <w:jc w:val="center"/>
        <w:rPr>
          <w:rFonts w:ascii="Times New Roman" w:hAnsi="Times New Roman"/>
          <w:b/>
          <w:sz w:val="28"/>
          <w:szCs w:val="28"/>
        </w:rPr>
      </w:pPr>
    </w:p>
    <w:p w:rsidR="00765F5B" w:rsidRPr="006F589C" w:rsidRDefault="00765F5B" w:rsidP="00765F5B">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65F5B" w:rsidRPr="006F589C" w:rsidRDefault="00765F5B" w:rsidP="00765F5B">
      <w:pPr>
        <w:pStyle w:val="aa"/>
        <w:tabs>
          <w:tab w:val="left" w:pos="851"/>
        </w:tabs>
        <w:ind w:left="0" w:firstLine="851"/>
        <w:jc w:val="center"/>
        <w:rPr>
          <w:rFonts w:ascii="Times New Roman" w:hAnsi="Times New Roman"/>
          <w:b/>
          <w:sz w:val="28"/>
          <w:szCs w:val="28"/>
        </w:rPr>
      </w:pPr>
    </w:p>
    <w:p w:rsidR="00765F5B" w:rsidRPr="006F589C" w:rsidRDefault="00765F5B" w:rsidP="00765F5B">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765F5B" w:rsidRPr="006F589C" w:rsidRDefault="00765F5B" w:rsidP="00765F5B">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65F5B" w:rsidRPr="006F589C" w:rsidRDefault="00765F5B" w:rsidP="00765F5B">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765F5B" w:rsidRPr="006F589C" w:rsidRDefault="00765F5B" w:rsidP="00765F5B">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65F5B" w:rsidRPr="006F589C" w:rsidRDefault="00765F5B" w:rsidP="00765F5B">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765F5B" w:rsidRPr="006F589C" w:rsidRDefault="00765F5B" w:rsidP="00765F5B">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765F5B" w:rsidRPr="006F589C" w:rsidRDefault="00765F5B" w:rsidP="00765F5B">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765F5B" w:rsidRPr="006F589C" w:rsidRDefault="00765F5B" w:rsidP="00765F5B">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65F5B" w:rsidRPr="006F589C" w:rsidRDefault="00765F5B" w:rsidP="00765F5B">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765F5B" w:rsidRPr="006F589C" w:rsidRDefault="00765F5B" w:rsidP="00765F5B">
      <w:pPr>
        <w:rPr>
          <w:rFonts w:ascii="Times New Roman" w:hAnsi="Times New Roman"/>
          <w:sz w:val="28"/>
          <w:szCs w:val="28"/>
        </w:rPr>
      </w:pPr>
      <w:r w:rsidRPr="006F589C">
        <w:rPr>
          <w:rFonts w:ascii="Times New Roman" w:hAnsi="Times New Roman"/>
          <w:sz w:val="28"/>
          <w:szCs w:val="28"/>
        </w:rPr>
        <w:br w:type="page"/>
      </w: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65F5B" w:rsidRPr="006F589C" w:rsidRDefault="00765F5B" w:rsidP="00765F5B">
      <w:pPr>
        <w:ind w:firstLine="851"/>
        <w:jc w:val="center"/>
        <w:rPr>
          <w:rFonts w:ascii="Times New Roman" w:hAnsi="Times New Roman"/>
          <w:b/>
          <w:sz w:val="28"/>
          <w:szCs w:val="28"/>
        </w:rPr>
      </w:pP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65F5B" w:rsidRPr="006F589C" w:rsidRDefault="00765F5B" w:rsidP="00765F5B">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lastRenderedPageBreak/>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65F5B" w:rsidRPr="006F589C" w:rsidRDefault="00765F5B" w:rsidP="00765F5B">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65F5B" w:rsidRPr="006F589C" w:rsidRDefault="00765F5B" w:rsidP="00765F5B">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765F5B" w:rsidRPr="006F589C" w:rsidRDefault="00765F5B" w:rsidP="00765F5B">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65F5B" w:rsidRPr="006F589C" w:rsidRDefault="00765F5B" w:rsidP="00765F5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765F5B" w:rsidRPr="006F589C" w:rsidRDefault="00765F5B" w:rsidP="00765F5B">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w:t>
      </w:r>
      <w:r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765F5B" w:rsidRPr="006F589C" w:rsidRDefault="00765F5B" w:rsidP="00765F5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765F5B" w:rsidRPr="006F589C" w:rsidRDefault="00765F5B" w:rsidP="00765F5B">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765F5B" w:rsidRPr="006F589C" w:rsidRDefault="00765F5B" w:rsidP="00765F5B">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765F5B" w:rsidRPr="006F589C" w:rsidRDefault="00765F5B" w:rsidP="00765F5B">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765F5B" w:rsidRPr="006F589C" w:rsidRDefault="00765F5B" w:rsidP="00765F5B">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765F5B" w:rsidRPr="006F589C" w:rsidRDefault="00765F5B" w:rsidP="00765F5B">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w:t>
      </w:r>
      <w:r w:rsidRPr="006F589C">
        <w:rPr>
          <w:rFonts w:ascii="Times New Roman" w:hAnsi="Times New Roman"/>
          <w:sz w:val="28"/>
          <w:szCs w:val="28"/>
        </w:rPr>
        <w:lastRenderedPageBreak/>
        <w:t>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765F5B" w:rsidRPr="006F589C" w:rsidRDefault="00765F5B" w:rsidP="00765F5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 xml:space="preserve">рекомендуется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765F5B" w:rsidRPr="006F589C" w:rsidRDefault="00765F5B" w:rsidP="00765F5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65F5B" w:rsidRPr="006F589C" w:rsidRDefault="00765F5B" w:rsidP="00765F5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65F5B" w:rsidRPr="006F589C" w:rsidRDefault="00765F5B" w:rsidP="00765F5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765F5B" w:rsidRPr="006F589C" w:rsidRDefault="00765F5B" w:rsidP="00765F5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765F5B" w:rsidRPr="006F589C" w:rsidRDefault="00765F5B" w:rsidP="00765F5B">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765F5B" w:rsidRPr="006F589C" w:rsidRDefault="00765F5B" w:rsidP="00765F5B">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65F5B" w:rsidRPr="006F589C" w:rsidRDefault="00765F5B" w:rsidP="00765F5B">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65F5B" w:rsidRPr="006F589C" w:rsidRDefault="00765F5B" w:rsidP="00765F5B">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765F5B" w:rsidRPr="006F589C" w:rsidRDefault="00765F5B" w:rsidP="00765F5B">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65F5B" w:rsidRPr="006F589C" w:rsidRDefault="00765F5B" w:rsidP="00765F5B">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765F5B" w:rsidRPr="006F589C" w:rsidRDefault="00765F5B" w:rsidP="00765F5B">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65F5B" w:rsidRPr="006F589C" w:rsidRDefault="00765F5B" w:rsidP="00765F5B">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выигрыши в лотереях, букмекерских конторах, тотализаторах, конкурсах </w:t>
      </w:r>
      <w:r w:rsidRPr="006F589C">
        <w:rPr>
          <w:rStyle w:val="a8"/>
          <w:rFonts w:ascii="Times New Roman" w:hAnsi="Times New Roman" w:cs="Times New Roman"/>
          <w:color w:val="000000"/>
          <w:sz w:val="28"/>
          <w:szCs w:val="28"/>
        </w:rPr>
        <w:lastRenderedPageBreak/>
        <w:t>и иных играх (при этом расходы, например ставка, не учитываются и не подлежат вычитанию из сумм выигрышей);</w:t>
      </w:r>
    </w:p>
    <w:p w:rsidR="00765F5B" w:rsidRPr="006F589C" w:rsidRDefault="00765F5B" w:rsidP="00765F5B">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65F5B" w:rsidRPr="006F589C" w:rsidRDefault="00765F5B" w:rsidP="00765F5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765F5B" w:rsidRPr="006F589C" w:rsidRDefault="00765F5B" w:rsidP="00765F5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765F5B" w:rsidRPr="006F589C" w:rsidRDefault="00765F5B" w:rsidP="00765F5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65F5B" w:rsidRPr="006F589C" w:rsidRDefault="00765F5B" w:rsidP="00765F5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765F5B" w:rsidRPr="006F589C" w:rsidRDefault="00765F5B" w:rsidP="00765F5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765F5B" w:rsidRPr="006F589C" w:rsidRDefault="00765F5B" w:rsidP="00765F5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765F5B" w:rsidRPr="006F589C" w:rsidRDefault="00765F5B" w:rsidP="00765F5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765F5B" w:rsidRPr="006F589C" w:rsidRDefault="00765F5B" w:rsidP="00765F5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65F5B" w:rsidRPr="006F589C" w:rsidRDefault="00765F5B" w:rsidP="00765F5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65F5B" w:rsidRPr="006F589C" w:rsidRDefault="00765F5B" w:rsidP="00765F5B">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w:t>
      </w:r>
      <w:r w:rsidRPr="006F589C">
        <w:t xml:space="preserve"> </w:t>
      </w:r>
      <w:r w:rsidRPr="006F589C">
        <w:rPr>
          <w:rStyle w:val="a8"/>
          <w:rFonts w:ascii="Times New Roman" w:hAnsi="Times New Roman" w:cs="Times New Roman"/>
          <w:color w:val="000000"/>
          <w:sz w:val="28"/>
          <w:szCs w:val="28"/>
        </w:rPr>
        <w:t xml:space="preserve">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65F5B" w:rsidRPr="006F589C" w:rsidRDefault="00765F5B" w:rsidP="00765F5B">
      <w:pPr>
        <w:pStyle w:val="aa"/>
        <w:ind w:left="567" w:firstLine="0"/>
        <w:rPr>
          <w:rFonts w:ascii="Times New Roman" w:hAnsi="Times New Roman"/>
          <w:sz w:val="28"/>
          <w:szCs w:val="28"/>
        </w:rPr>
      </w:pPr>
    </w:p>
    <w:p w:rsidR="00765F5B" w:rsidRPr="006F589C" w:rsidRDefault="00765F5B" w:rsidP="00765F5B">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65F5B" w:rsidRPr="006F589C" w:rsidRDefault="00765F5B" w:rsidP="00765F5B">
      <w:pPr>
        <w:ind w:firstLine="851"/>
        <w:jc w:val="center"/>
        <w:rPr>
          <w:rFonts w:ascii="Times New Roman" w:hAnsi="Times New Roman"/>
          <w:b/>
          <w:sz w:val="28"/>
          <w:szCs w:val="28"/>
        </w:rPr>
      </w:pP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w:t>
      </w:r>
      <w:r w:rsidRPr="006F589C">
        <w:rPr>
          <w:rFonts w:ascii="Times New Roman" w:hAnsi="Times New Roman"/>
          <w:sz w:val="28"/>
        </w:rPr>
        <w:lastRenderedPageBreak/>
        <w:t xml:space="preserve">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65F5B" w:rsidRPr="006F589C" w:rsidRDefault="00765F5B" w:rsidP="00765F5B">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65F5B" w:rsidRPr="006F589C" w:rsidRDefault="00765F5B" w:rsidP="00765F5B">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765F5B" w:rsidRPr="006F589C" w:rsidRDefault="00765F5B" w:rsidP="00765F5B">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65F5B" w:rsidRPr="006F589C" w:rsidRDefault="00765F5B" w:rsidP="00765F5B">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65F5B" w:rsidRPr="006F589C" w:rsidRDefault="00765F5B" w:rsidP="00765F5B">
      <w:pPr>
        <w:autoSpaceDE w:val="0"/>
        <w:autoSpaceDN w:val="0"/>
        <w:adjustRightInd w:val="0"/>
        <w:ind w:firstLine="851"/>
        <w:rPr>
          <w:rFonts w:ascii="Times New Roman" w:hAnsi="Times New Roman"/>
          <w:sz w:val="24"/>
          <w:szCs w:val="28"/>
        </w:rPr>
      </w:pPr>
    </w:p>
    <w:p w:rsidR="00765F5B" w:rsidRPr="006F589C" w:rsidRDefault="00765F5B" w:rsidP="00765F5B">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765F5B" w:rsidRPr="006F589C" w:rsidRDefault="00765F5B" w:rsidP="00765F5B">
      <w:pPr>
        <w:autoSpaceDE w:val="0"/>
        <w:autoSpaceDN w:val="0"/>
        <w:adjustRightInd w:val="0"/>
        <w:ind w:firstLine="851"/>
        <w:jc w:val="center"/>
        <w:rPr>
          <w:rFonts w:ascii="Times New Roman" w:eastAsia="Times New Roman" w:hAnsi="Times New Roman"/>
          <w:sz w:val="24"/>
          <w:szCs w:val="28"/>
          <w:lang w:eastAsia="ru-RU"/>
        </w:rPr>
      </w:pPr>
    </w:p>
    <w:p w:rsidR="00765F5B" w:rsidRPr="006F589C" w:rsidRDefault="00765F5B" w:rsidP="00765F5B">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765F5B" w:rsidRPr="006F589C" w:rsidRDefault="00765F5B" w:rsidP="00765F5B">
      <w:pPr>
        <w:pStyle w:val="aa"/>
        <w:autoSpaceDE w:val="0"/>
        <w:autoSpaceDN w:val="0"/>
        <w:adjustRightInd w:val="0"/>
        <w:ind w:left="567" w:firstLine="0"/>
        <w:rPr>
          <w:rFonts w:ascii="Times New Roman" w:hAnsi="Times New Roman"/>
          <w:sz w:val="28"/>
          <w:szCs w:val="28"/>
        </w:rPr>
      </w:pP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765F5B" w:rsidRPr="006F589C" w:rsidRDefault="00765F5B" w:rsidP="00765F5B">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65F5B" w:rsidRPr="006F589C" w:rsidRDefault="00765F5B" w:rsidP="00765F5B">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65F5B" w:rsidRPr="006F589C" w:rsidRDefault="00765F5B" w:rsidP="00765F5B">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65F5B" w:rsidRPr="006F589C" w:rsidRDefault="00765F5B" w:rsidP="00765F5B">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765F5B" w:rsidRPr="006F589C" w:rsidRDefault="00765F5B" w:rsidP="00765F5B">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765F5B" w:rsidRPr="006F589C" w:rsidRDefault="00765F5B" w:rsidP="00765F5B">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район;</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765F5B" w:rsidRPr="006F589C" w:rsidRDefault="00765F5B" w:rsidP="00765F5B">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765F5B" w:rsidRPr="006F589C" w:rsidRDefault="00765F5B" w:rsidP="00765F5B">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765F5B" w:rsidRPr="006F589C" w:rsidRDefault="00765F5B" w:rsidP="00765F5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765F5B" w:rsidRPr="006F589C" w:rsidRDefault="00765F5B" w:rsidP="00765F5B">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765F5B" w:rsidRPr="006F589C" w:rsidRDefault="00765F5B" w:rsidP="00765F5B">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65F5B" w:rsidRPr="006F589C" w:rsidRDefault="00765F5B" w:rsidP="00765F5B">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765F5B" w:rsidRPr="006F589C" w:rsidRDefault="00765F5B" w:rsidP="00765F5B">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65F5B" w:rsidRPr="006F589C" w:rsidRDefault="00765F5B" w:rsidP="00765F5B">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65F5B" w:rsidRPr="006F589C" w:rsidRDefault="00765F5B" w:rsidP="00765F5B">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65F5B" w:rsidRPr="006F589C" w:rsidRDefault="00765F5B" w:rsidP="00765F5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765F5B" w:rsidRPr="006F589C" w:rsidRDefault="00765F5B" w:rsidP="00765F5B">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765F5B" w:rsidRPr="006F589C" w:rsidRDefault="00765F5B" w:rsidP="00765F5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6"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7"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18"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765F5B" w:rsidRPr="006F589C" w:rsidRDefault="00765F5B" w:rsidP="00765F5B">
      <w:pPr>
        <w:pStyle w:val="aa"/>
        <w:ind w:left="0" w:firstLine="851"/>
        <w:rPr>
          <w:rFonts w:ascii="Times New Roman" w:hAnsi="Times New Roman"/>
          <w:sz w:val="28"/>
          <w:szCs w:val="28"/>
        </w:rPr>
      </w:pPr>
    </w:p>
    <w:p w:rsidR="00765F5B" w:rsidRPr="006F589C" w:rsidRDefault="00765F5B" w:rsidP="00765F5B">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65F5B" w:rsidRPr="006F589C" w:rsidRDefault="00765F5B" w:rsidP="00765F5B">
      <w:pPr>
        <w:ind w:firstLine="851"/>
        <w:jc w:val="center"/>
        <w:rPr>
          <w:rFonts w:ascii="Times New Roman" w:hAnsi="Times New Roman"/>
          <w:b/>
          <w:sz w:val="28"/>
          <w:szCs w:val="28"/>
        </w:rPr>
      </w:pP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765F5B" w:rsidRPr="006F589C" w:rsidRDefault="00765F5B" w:rsidP="00765F5B">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765F5B" w:rsidRPr="006F589C" w:rsidRDefault="00765F5B" w:rsidP="00765F5B">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765F5B" w:rsidRPr="006F589C" w:rsidRDefault="00765F5B" w:rsidP="00765F5B">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765F5B" w:rsidRPr="006F589C" w:rsidRDefault="00765F5B" w:rsidP="00765F5B">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765F5B" w:rsidRPr="006F589C" w:rsidRDefault="00765F5B" w:rsidP="00765F5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65F5B" w:rsidRPr="006F589C" w:rsidRDefault="00765F5B" w:rsidP="00765F5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65F5B" w:rsidRPr="006F589C" w:rsidRDefault="00765F5B" w:rsidP="00765F5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765F5B" w:rsidRPr="006F589C" w:rsidRDefault="00765F5B" w:rsidP="00765F5B">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765F5B" w:rsidRPr="006F589C" w:rsidTr="004D14E8">
        <w:tc>
          <w:tcPr>
            <w:tcW w:w="2127" w:type="dxa"/>
          </w:tcPr>
          <w:p w:rsidR="00765F5B" w:rsidRPr="006F589C" w:rsidRDefault="00765F5B" w:rsidP="004D14E8">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765F5B" w:rsidRPr="006F589C" w:rsidRDefault="00765F5B" w:rsidP="004D14E8">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65F5B" w:rsidRPr="006F589C" w:rsidTr="004D14E8">
        <w:tc>
          <w:tcPr>
            <w:tcW w:w="2127" w:type="dxa"/>
          </w:tcPr>
          <w:p w:rsidR="00765F5B" w:rsidRPr="006F589C" w:rsidRDefault="00765F5B" w:rsidP="004D14E8">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765F5B" w:rsidRPr="006F589C" w:rsidRDefault="00765F5B" w:rsidP="004D14E8">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765F5B" w:rsidRPr="006F589C" w:rsidRDefault="00765F5B" w:rsidP="00765F5B">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765F5B" w:rsidRPr="006F589C" w:rsidRDefault="00765F5B" w:rsidP="00765F5B">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765F5B" w:rsidRPr="006F589C" w:rsidRDefault="00765F5B" w:rsidP="00765F5B">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1"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765F5B" w:rsidRPr="006F589C" w:rsidRDefault="00765F5B" w:rsidP="00765F5B">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765F5B" w:rsidRPr="006F589C" w:rsidRDefault="00765F5B" w:rsidP="00765F5B">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765F5B" w:rsidRPr="006F589C" w:rsidRDefault="00765F5B" w:rsidP="00765F5B">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65F5B" w:rsidRPr="006F589C" w:rsidRDefault="00765F5B" w:rsidP="00765F5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765F5B" w:rsidRPr="006F589C" w:rsidRDefault="00765F5B" w:rsidP="00765F5B">
      <w:pPr>
        <w:ind w:firstLine="851"/>
        <w:jc w:val="center"/>
        <w:rPr>
          <w:rFonts w:ascii="Times New Roman" w:hAnsi="Times New Roman"/>
          <w:sz w:val="28"/>
          <w:szCs w:val="28"/>
        </w:rPr>
      </w:pPr>
    </w:p>
    <w:p w:rsidR="00765F5B" w:rsidRPr="006F589C" w:rsidRDefault="00765F5B" w:rsidP="00765F5B">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65F5B" w:rsidRPr="006F589C" w:rsidRDefault="00765F5B" w:rsidP="00765F5B">
      <w:pPr>
        <w:ind w:firstLine="851"/>
        <w:jc w:val="center"/>
        <w:rPr>
          <w:rFonts w:ascii="Times New Roman" w:hAnsi="Times New Roman"/>
          <w:sz w:val="28"/>
          <w:szCs w:val="28"/>
        </w:rPr>
      </w:pP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65F5B" w:rsidRPr="006F589C" w:rsidRDefault="00765F5B" w:rsidP="00765F5B">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65F5B" w:rsidRPr="006F589C" w:rsidRDefault="00765F5B" w:rsidP="00765F5B">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65F5B" w:rsidRPr="006F589C" w:rsidRDefault="00765F5B" w:rsidP="00765F5B">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765F5B" w:rsidRPr="006F589C" w:rsidRDefault="00765F5B" w:rsidP="00765F5B">
      <w:pPr>
        <w:pStyle w:val="aa"/>
        <w:ind w:left="0"/>
        <w:rPr>
          <w:rFonts w:ascii="Times New Roman" w:hAnsi="Times New Roman"/>
          <w:sz w:val="24"/>
          <w:szCs w:val="28"/>
        </w:rPr>
      </w:pP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765F5B" w:rsidRPr="006F589C" w:rsidRDefault="00765F5B" w:rsidP="00765F5B">
      <w:pPr>
        <w:ind w:firstLine="851"/>
        <w:jc w:val="center"/>
        <w:rPr>
          <w:rFonts w:ascii="Times New Roman" w:hAnsi="Times New Roman"/>
          <w:sz w:val="24"/>
          <w:szCs w:val="28"/>
        </w:rPr>
      </w:pPr>
    </w:p>
    <w:p w:rsidR="00765F5B" w:rsidRPr="006F589C" w:rsidRDefault="00765F5B" w:rsidP="00765F5B">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765F5B" w:rsidRPr="006F589C" w:rsidRDefault="00765F5B" w:rsidP="00765F5B">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 xml:space="preserve">отсутствует фактическое пользование этим объектом супругом; </w:t>
      </w:r>
    </w:p>
    <w:p w:rsidR="00765F5B" w:rsidRPr="006F589C" w:rsidRDefault="00765F5B" w:rsidP="00765F5B">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765F5B" w:rsidRPr="006F589C" w:rsidRDefault="00765F5B" w:rsidP="00765F5B">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765F5B" w:rsidRPr="006F589C" w:rsidRDefault="00765F5B" w:rsidP="00765F5B">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65F5B" w:rsidRPr="006F589C" w:rsidRDefault="00765F5B" w:rsidP="00765F5B">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765F5B" w:rsidRPr="006F589C" w:rsidRDefault="00765F5B" w:rsidP="00765F5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765F5B" w:rsidRPr="006F589C" w:rsidRDefault="00765F5B" w:rsidP="00765F5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765F5B" w:rsidRPr="006F589C" w:rsidRDefault="00765F5B" w:rsidP="00765F5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65F5B" w:rsidRPr="006F589C" w:rsidRDefault="00765F5B" w:rsidP="00765F5B">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65F5B" w:rsidRPr="006F589C" w:rsidRDefault="00765F5B" w:rsidP="00765F5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65F5B" w:rsidRPr="006F589C" w:rsidRDefault="00765F5B" w:rsidP="00765F5B">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765F5B" w:rsidRPr="006F589C" w:rsidRDefault="00765F5B" w:rsidP="00765F5B">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765F5B" w:rsidRPr="006F589C" w:rsidRDefault="00765F5B" w:rsidP="00765F5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3) договор займа;</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765F5B" w:rsidRPr="006F589C" w:rsidRDefault="00765F5B" w:rsidP="00765F5B">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При этом в данном подразделе не указываются, например, договор срочного банковского вклада. </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765F5B" w:rsidRPr="006F589C" w:rsidRDefault="00765F5B" w:rsidP="00765F5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65F5B" w:rsidRPr="006F589C" w:rsidRDefault="00765F5B" w:rsidP="00765F5B">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65F5B" w:rsidRPr="006F589C" w:rsidRDefault="00765F5B" w:rsidP="00765F5B">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765F5B" w:rsidRPr="006F589C" w:rsidRDefault="00765F5B" w:rsidP="00765F5B">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 xml:space="preserve">Об организации страхового дела в Российской </w:t>
      </w:r>
      <w:r w:rsidRPr="006F589C">
        <w:rPr>
          <w:rFonts w:ascii="Times New Roman" w:hAnsi="Times New Roman"/>
          <w:b/>
          <w:sz w:val="28"/>
          <w:szCs w:val="28"/>
        </w:rPr>
        <w:lastRenderedPageBreak/>
        <w:t>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765F5B" w:rsidRPr="006F589C" w:rsidRDefault="00765F5B" w:rsidP="00765F5B">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65F5B" w:rsidRPr="006F589C" w:rsidRDefault="00765F5B" w:rsidP="00765F5B">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765F5B" w:rsidRPr="006F589C" w:rsidRDefault="00765F5B" w:rsidP="00765F5B">
      <w:pPr>
        <w:ind w:firstLine="567"/>
        <w:rPr>
          <w:rFonts w:ascii="Times New Roman" w:hAnsi="Times New Roman"/>
          <w:sz w:val="24"/>
          <w:szCs w:val="28"/>
        </w:rPr>
      </w:pP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65F5B" w:rsidRPr="006F589C" w:rsidRDefault="00765F5B" w:rsidP="00765F5B">
      <w:pPr>
        <w:ind w:firstLine="851"/>
        <w:jc w:val="center"/>
        <w:rPr>
          <w:rFonts w:ascii="Times New Roman" w:hAnsi="Times New Roman"/>
          <w:sz w:val="24"/>
          <w:szCs w:val="28"/>
        </w:rPr>
      </w:pP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65F5B" w:rsidRPr="006F589C" w:rsidRDefault="00765F5B" w:rsidP="00765F5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765F5B" w:rsidRPr="006F589C" w:rsidRDefault="00765F5B" w:rsidP="00765F5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w:t>
      </w:r>
      <w:r w:rsidRPr="006F589C">
        <w:rPr>
          <w:rFonts w:ascii="Times New Roman" w:hAnsi="Times New Roman"/>
          <w:sz w:val="28"/>
          <w:szCs w:val="28"/>
        </w:rPr>
        <w:lastRenderedPageBreak/>
        <w:t>136 настоящих Методических рекомендаций, доли участия в соответствии с пунктом 137 настоящих Методических рекомендаций.</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765F5B" w:rsidRPr="006F589C"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765F5B" w:rsidRPr="006F589C" w:rsidRDefault="00765F5B" w:rsidP="00765F5B">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765F5B" w:rsidRPr="006F589C" w:rsidRDefault="00765F5B" w:rsidP="00765F5B">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765F5B" w:rsidRPr="006F589C" w:rsidRDefault="00765F5B" w:rsidP="00765F5B">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765F5B" w:rsidRPr="006F589C" w:rsidRDefault="00765F5B" w:rsidP="00765F5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765F5B" w:rsidRPr="006F589C" w:rsidRDefault="00765F5B" w:rsidP="00765F5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765F5B" w:rsidRPr="006F589C" w:rsidRDefault="00765F5B" w:rsidP="00765F5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765F5B" w:rsidRPr="006F589C" w:rsidRDefault="00765F5B" w:rsidP="00765F5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765F5B" w:rsidRPr="006F589C" w:rsidRDefault="00765F5B" w:rsidP="00765F5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765F5B" w:rsidRPr="006F589C" w:rsidRDefault="00765F5B" w:rsidP="00765F5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765F5B" w:rsidRPr="006F589C" w:rsidRDefault="00765F5B" w:rsidP="00765F5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765F5B" w:rsidRPr="006F589C" w:rsidRDefault="00765F5B" w:rsidP="00765F5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765F5B" w:rsidRPr="006F589C" w:rsidRDefault="00765F5B" w:rsidP="00765F5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65F5B" w:rsidRPr="006F589C" w:rsidRDefault="00765F5B" w:rsidP="00765F5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65F5B" w:rsidRPr="006F589C" w:rsidRDefault="00765F5B" w:rsidP="00765F5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65F5B" w:rsidRPr="006F589C" w:rsidRDefault="00765F5B" w:rsidP="00765F5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765F5B" w:rsidRPr="006F589C"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765F5B" w:rsidRPr="006F589C"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765F5B" w:rsidRPr="006F589C"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765F5B" w:rsidRPr="006F589C" w:rsidRDefault="00765F5B" w:rsidP="00765F5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65F5B" w:rsidRPr="006F589C"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765F5B" w:rsidRPr="006F589C" w:rsidRDefault="00765F5B" w:rsidP="00765F5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765F5B"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65F5B" w:rsidRPr="00D60F5D" w:rsidRDefault="00765F5B" w:rsidP="00765F5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765F5B" w:rsidRPr="006F589C" w:rsidRDefault="00765F5B" w:rsidP="00765F5B">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765F5B" w:rsidRPr="006F589C" w:rsidRDefault="00765F5B" w:rsidP="00765F5B">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2C20A2" w:rsidRDefault="002C20A2"/>
    <w:sectPr w:rsidR="002C20A2" w:rsidSect="009E289E">
      <w:headerReference w:type="default" r:id="rId27"/>
      <w:pgSz w:w="11906" w:h="16838"/>
      <w:pgMar w:top="1134" w:right="567" w:bottom="1134" w:left="1134" w:header="426"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65F5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54</w:t>
    </w:r>
    <w:r w:rsidRPr="00204BB5">
      <w:rPr>
        <w:rFonts w:ascii="Times New Roman" w:hAnsi="Times New Roman"/>
        <w:sz w:val="28"/>
        <w:szCs w:val="28"/>
      </w:rPr>
      <w:fldChar w:fldCharType="end"/>
    </w:r>
  </w:p>
  <w:p w:rsidR="00D60F5D" w:rsidRDefault="00765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765F5B"/>
    <w:rsid w:val="002C20A2"/>
    <w:rsid w:val="0076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5B"/>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F5B"/>
    <w:pPr>
      <w:tabs>
        <w:tab w:val="center" w:pos="4677"/>
        <w:tab w:val="right" w:pos="9355"/>
      </w:tabs>
    </w:pPr>
  </w:style>
  <w:style w:type="character" w:customStyle="1" w:styleId="a4">
    <w:name w:val="Верхний колонтитул Знак"/>
    <w:basedOn w:val="a0"/>
    <w:link w:val="a3"/>
    <w:uiPriority w:val="99"/>
    <w:rsid w:val="00765F5B"/>
    <w:rPr>
      <w:rFonts w:ascii="Calibri" w:eastAsia="Calibri" w:hAnsi="Calibri" w:cs="Times New Roman"/>
    </w:rPr>
  </w:style>
  <w:style w:type="paragraph" w:styleId="a5">
    <w:name w:val="footer"/>
    <w:basedOn w:val="a"/>
    <w:link w:val="a6"/>
    <w:uiPriority w:val="99"/>
    <w:semiHidden/>
    <w:unhideWhenUsed/>
    <w:rsid w:val="00765F5B"/>
    <w:pPr>
      <w:tabs>
        <w:tab w:val="center" w:pos="4677"/>
        <w:tab w:val="right" w:pos="9355"/>
      </w:tabs>
    </w:pPr>
  </w:style>
  <w:style w:type="character" w:customStyle="1" w:styleId="a6">
    <w:name w:val="Нижний колонтитул Знак"/>
    <w:basedOn w:val="a0"/>
    <w:link w:val="a5"/>
    <w:uiPriority w:val="99"/>
    <w:semiHidden/>
    <w:rsid w:val="00765F5B"/>
    <w:rPr>
      <w:rFonts w:ascii="Calibri" w:eastAsia="Calibri" w:hAnsi="Calibri" w:cs="Times New Roman"/>
    </w:rPr>
  </w:style>
  <w:style w:type="table" w:styleId="a7">
    <w:name w:val="Table Grid"/>
    <w:basedOn w:val="a1"/>
    <w:uiPriority w:val="59"/>
    <w:rsid w:val="00765F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65F5B"/>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765F5B"/>
    <w:rPr>
      <w:rFonts w:ascii="Calibri" w:hAnsi="Calibri" w:cs="Calibri"/>
      <w:shd w:val="clear" w:color="auto" w:fill="FFFFFF"/>
    </w:rPr>
  </w:style>
  <w:style w:type="paragraph" w:styleId="a9">
    <w:name w:val="Body Text"/>
    <w:basedOn w:val="a"/>
    <w:link w:val="a8"/>
    <w:rsid w:val="00765F5B"/>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link w:val="a9"/>
    <w:uiPriority w:val="99"/>
    <w:semiHidden/>
    <w:rsid w:val="00765F5B"/>
    <w:rPr>
      <w:rFonts w:ascii="Calibri" w:eastAsia="Calibri" w:hAnsi="Calibri" w:cs="Times New Roman"/>
    </w:rPr>
  </w:style>
  <w:style w:type="paragraph" w:styleId="aa">
    <w:name w:val="List Paragraph"/>
    <w:basedOn w:val="a"/>
    <w:uiPriority w:val="34"/>
    <w:qFormat/>
    <w:rsid w:val="00765F5B"/>
    <w:pPr>
      <w:ind w:left="720"/>
      <w:contextualSpacing/>
    </w:pPr>
  </w:style>
  <w:style w:type="paragraph" w:customStyle="1" w:styleId="Default">
    <w:name w:val="Default"/>
    <w:rsid w:val="00765F5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65F5B"/>
  </w:style>
  <w:style w:type="paragraph" w:styleId="ab">
    <w:name w:val="Normal (Web)"/>
    <w:basedOn w:val="a"/>
    <w:uiPriority w:val="99"/>
    <w:unhideWhenUsed/>
    <w:rsid w:val="00765F5B"/>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765F5B"/>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765F5B"/>
    <w:rPr>
      <w:rFonts w:ascii="Times New Roman" w:eastAsia="Times New Roman" w:hAnsi="Times New Roman" w:cs="Times New Roman"/>
      <w:sz w:val="20"/>
      <w:szCs w:val="20"/>
      <w:lang w:eastAsia="ru-RU"/>
    </w:rPr>
  </w:style>
  <w:style w:type="character" w:styleId="ae">
    <w:name w:val="footnote reference"/>
    <w:uiPriority w:val="99"/>
    <w:semiHidden/>
    <w:rsid w:val="00765F5B"/>
    <w:rPr>
      <w:vertAlign w:val="superscript"/>
    </w:rPr>
  </w:style>
  <w:style w:type="character" w:customStyle="1" w:styleId="FontStyle12">
    <w:name w:val="Font Style12"/>
    <w:rsid w:val="00765F5B"/>
    <w:rPr>
      <w:rFonts w:ascii="Times New Roman" w:hAnsi="Times New Roman" w:cs="Times New Roman" w:hint="default"/>
      <w:sz w:val="24"/>
      <w:szCs w:val="24"/>
    </w:rPr>
  </w:style>
  <w:style w:type="character" w:customStyle="1" w:styleId="af">
    <w:name w:val="Основной текст_"/>
    <w:link w:val="10"/>
    <w:rsid w:val="00765F5B"/>
    <w:rPr>
      <w:sz w:val="28"/>
      <w:szCs w:val="28"/>
      <w:shd w:val="clear" w:color="auto" w:fill="FFFFFF"/>
    </w:rPr>
  </w:style>
  <w:style w:type="paragraph" w:customStyle="1" w:styleId="10">
    <w:name w:val="Основной текст1"/>
    <w:basedOn w:val="a"/>
    <w:link w:val="af"/>
    <w:rsid w:val="00765F5B"/>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765F5B"/>
    <w:rPr>
      <w:rFonts w:ascii="Tahoma" w:hAnsi="Tahoma" w:cs="Tahoma"/>
      <w:sz w:val="16"/>
      <w:szCs w:val="16"/>
    </w:rPr>
  </w:style>
  <w:style w:type="character" w:customStyle="1" w:styleId="af1">
    <w:name w:val="Текст выноски Знак"/>
    <w:basedOn w:val="a0"/>
    <w:link w:val="af0"/>
    <w:uiPriority w:val="99"/>
    <w:semiHidden/>
    <w:rsid w:val="00765F5B"/>
    <w:rPr>
      <w:rFonts w:ascii="Tahoma" w:eastAsia="Calibri" w:hAnsi="Tahoma" w:cs="Tahoma"/>
      <w:sz w:val="16"/>
      <w:szCs w:val="16"/>
    </w:rPr>
  </w:style>
  <w:style w:type="character" w:styleId="af2">
    <w:name w:val="annotation reference"/>
    <w:uiPriority w:val="99"/>
    <w:semiHidden/>
    <w:unhideWhenUsed/>
    <w:rsid w:val="00765F5B"/>
    <w:rPr>
      <w:sz w:val="16"/>
      <w:szCs w:val="16"/>
    </w:rPr>
  </w:style>
  <w:style w:type="paragraph" w:styleId="af3">
    <w:name w:val="annotation text"/>
    <w:basedOn w:val="a"/>
    <w:link w:val="af4"/>
    <w:uiPriority w:val="99"/>
    <w:unhideWhenUsed/>
    <w:rsid w:val="00765F5B"/>
    <w:rPr>
      <w:sz w:val="20"/>
      <w:szCs w:val="20"/>
    </w:rPr>
  </w:style>
  <w:style w:type="character" w:customStyle="1" w:styleId="af4">
    <w:name w:val="Текст примечания Знак"/>
    <w:basedOn w:val="a0"/>
    <w:link w:val="af3"/>
    <w:uiPriority w:val="99"/>
    <w:rsid w:val="00765F5B"/>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765F5B"/>
    <w:rPr>
      <w:b/>
      <w:bCs/>
    </w:rPr>
  </w:style>
  <w:style w:type="character" w:customStyle="1" w:styleId="af6">
    <w:name w:val="Тема примечания Знак"/>
    <w:basedOn w:val="af4"/>
    <w:link w:val="af5"/>
    <w:uiPriority w:val="99"/>
    <w:semiHidden/>
    <w:rsid w:val="00765F5B"/>
    <w:rPr>
      <w:b/>
      <w:bCs/>
    </w:rPr>
  </w:style>
  <w:style w:type="character" w:customStyle="1" w:styleId="11">
    <w:name w:val="Основной текст Знак11"/>
    <w:uiPriority w:val="99"/>
    <w:semiHidden/>
    <w:rsid w:val="00765F5B"/>
    <w:rPr>
      <w:rFonts w:cs="Times New Roman"/>
    </w:rPr>
  </w:style>
  <w:style w:type="paragraph" w:customStyle="1" w:styleId="ConsPlusNormal">
    <w:name w:val="ConsPlusNormal"/>
    <w:rsid w:val="00765F5B"/>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765F5B"/>
    <w:pPr>
      <w:spacing w:after="0" w:line="240" w:lineRule="auto"/>
    </w:pPr>
    <w:rPr>
      <w:rFonts w:ascii="Calibri" w:eastAsia="Calibri" w:hAnsi="Calibri" w:cs="Times New Roman"/>
    </w:rPr>
  </w:style>
  <w:style w:type="character" w:styleId="af8">
    <w:name w:val="Hyperlink"/>
    <w:basedOn w:val="a0"/>
    <w:uiPriority w:val="99"/>
    <w:unhideWhenUsed/>
    <w:rsid w:val="00765F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yperlink" Target="http://www.cbr.ru/finm_infrastructure/oper/" TargetMode="External"/><Relationship Id="rId3" Type="http://schemas.openxmlformats.org/officeDocument/2006/relationships/settings" Target="setting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s://www.cbr.ru/currency_ba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currency_base/daily/" TargetMode="External"/><Relationship Id="rId5" Type="http://schemas.openxmlformats.org/officeDocument/2006/relationships/image" Target="media/image1.emf"/><Relationship Id="rId15" Type="http://schemas.openxmlformats.org/officeDocument/2006/relationships/hyperlink" Target="https://www.cbr.ru/currency_base/daily/" TargetMode="External"/><Relationship Id="rId23" Type="http://schemas.openxmlformats.org/officeDocument/2006/relationships/hyperlink" Target="https://www.cbr.ru/currency_base/daily/" TargetMode="External"/><Relationship Id="rId28" Type="http://schemas.openxmlformats.org/officeDocument/2006/relationships/fontTable" Target="fontTable.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cbr.ru/hd_base/metall/metall_base_new/"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s://www.cbr.ru/banking_sector/likvidbas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21941</Words>
  <Characters>125069</Characters>
  <Application>Microsoft Office Word</Application>
  <DocSecurity>0</DocSecurity>
  <Lines>1042</Lines>
  <Paragraphs>293</Paragraphs>
  <ScaleCrop>false</ScaleCrop>
  <Company>Microsoft</Company>
  <LinksUpToDate>false</LinksUpToDate>
  <CharactersWithSpaces>146717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2021-02-04T11:13:00Z</dcterms:created>
  <dcterms:modified xsi:type="dcterms:W3CDTF">2021-02-04T11:14:00Z</dcterms:modified>
</cp:coreProperties>
</file>