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F4" w:rsidRPr="00D14ACA" w:rsidRDefault="00834D44">
      <w:pPr>
        <w:spacing w:line="360" w:lineRule="auto"/>
        <w:ind w:left="-360"/>
        <w:jc w:val="center"/>
        <w:rPr>
          <w:b/>
        </w:rPr>
      </w:pPr>
      <w:r w:rsidRPr="00D14ACA">
        <w:rPr>
          <w:b/>
        </w:rPr>
        <w:t xml:space="preserve">ЧЕЛЯБИНСКАЯ ОБЛАСТЬ </w:t>
      </w:r>
    </w:p>
    <w:p w:rsidR="003D70F4" w:rsidRPr="00D14ACA" w:rsidRDefault="00834D44">
      <w:pPr>
        <w:spacing w:line="360" w:lineRule="auto"/>
        <w:ind w:left="-360"/>
        <w:jc w:val="center"/>
        <w:rPr>
          <w:b/>
        </w:rPr>
      </w:pPr>
      <w:r w:rsidRPr="00D14ACA">
        <w:rPr>
          <w:b/>
        </w:rPr>
        <w:t>АРГАЯШСКИЙ МУНИЦИПАЛЬНЫЙ РАЙОН</w:t>
      </w:r>
    </w:p>
    <w:p w:rsidR="003D70F4" w:rsidRPr="00D14ACA" w:rsidRDefault="00834D44">
      <w:pPr>
        <w:spacing w:line="360" w:lineRule="auto"/>
        <w:ind w:left="-360" w:firstLine="240"/>
        <w:jc w:val="center"/>
        <w:rPr>
          <w:b/>
        </w:rPr>
      </w:pPr>
      <w:r w:rsidRPr="00D14ACA">
        <w:rPr>
          <w:b/>
        </w:rPr>
        <w:t>АДМИНИСТРАЦИЯ  ХУДАЙБЕРДИНСКОГО СЕЛЬСКОГО ПОСЕЛЕНИЯ</w:t>
      </w:r>
    </w:p>
    <w:p w:rsidR="003D70F4" w:rsidRDefault="008D7144" w:rsidP="002243AD">
      <w:pPr>
        <w:jc w:val="center"/>
        <w:rPr>
          <w:sz w:val="28"/>
          <w:szCs w:val="28"/>
        </w:rPr>
      </w:pPr>
      <w:r>
        <w:rPr>
          <w:noProof/>
          <w:sz w:val="28"/>
          <w:szCs w:val="28"/>
        </w:rPr>
        <w:pict>
          <v:line id="_x0000_s1026" style="position:absolute;left:0;text-align:left;z-index:2" from="-6pt,5.35pt" to="492pt,5.35pt" strokeweight="4.5pt">
            <v:stroke linestyle="thickThin"/>
          </v:line>
        </w:pict>
      </w:r>
    </w:p>
    <w:p w:rsidR="003D70F4" w:rsidRPr="00D14ACA" w:rsidRDefault="00834D44" w:rsidP="00D14ACA">
      <w:pPr>
        <w:jc w:val="center"/>
        <w:rPr>
          <w:b/>
          <w:sz w:val="20"/>
          <w:szCs w:val="20"/>
        </w:rPr>
      </w:pPr>
      <w:r w:rsidRPr="00D14ACA">
        <w:rPr>
          <w:b/>
          <w:sz w:val="20"/>
          <w:szCs w:val="20"/>
        </w:rPr>
        <w:t xml:space="preserve">456884, Челябинская область, Аргаяшский район, пос. Худайбердинский, ул. Садовая, д. 7, тел/факс (8-35131) 99645,  </w:t>
      </w:r>
      <w:r w:rsidRPr="00D14ACA">
        <w:rPr>
          <w:b/>
          <w:sz w:val="20"/>
          <w:szCs w:val="20"/>
          <w:lang w:val="en-US"/>
        </w:rPr>
        <w:t>E</w:t>
      </w:r>
      <w:r w:rsidRPr="00D14ACA">
        <w:rPr>
          <w:b/>
          <w:sz w:val="20"/>
          <w:szCs w:val="20"/>
        </w:rPr>
        <w:t>-</w:t>
      </w:r>
      <w:r w:rsidRPr="00D14ACA">
        <w:rPr>
          <w:b/>
          <w:sz w:val="20"/>
          <w:szCs w:val="20"/>
          <w:lang w:val="en-US"/>
        </w:rPr>
        <w:t>mail</w:t>
      </w:r>
      <w:r w:rsidRPr="00D14ACA">
        <w:rPr>
          <w:b/>
          <w:sz w:val="20"/>
          <w:szCs w:val="20"/>
        </w:rPr>
        <w:t xml:space="preserve">: </w:t>
      </w:r>
      <w:hyperlink r:id="rId7" w:history="1">
        <w:r w:rsidRPr="00D14ACA">
          <w:rPr>
            <w:rStyle w:val="a5"/>
            <w:b/>
            <w:sz w:val="20"/>
            <w:szCs w:val="20"/>
            <w:lang w:val="en-US"/>
          </w:rPr>
          <w:t>hud</w:t>
        </w:r>
        <w:r w:rsidRPr="00D14ACA">
          <w:rPr>
            <w:rStyle w:val="a5"/>
            <w:b/>
            <w:sz w:val="20"/>
            <w:szCs w:val="20"/>
          </w:rPr>
          <w:t>_</w:t>
        </w:r>
        <w:r w:rsidRPr="00D14ACA">
          <w:rPr>
            <w:rStyle w:val="a5"/>
            <w:b/>
            <w:sz w:val="20"/>
            <w:szCs w:val="20"/>
            <w:lang w:val="en-US"/>
          </w:rPr>
          <w:t>sp</w:t>
        </w:r>
        <w:r w:rsidRPr="00D14ACA">
          <w:rPr>
            <w:rStyle w:val="a5"/>
            <w:b/>
            <w:sz w:val="20"/>
            <w:szCs w:val="20"/>
          </w:rPr>
          <w:t>@</w:t>
        </w:r>
        <w:r w:rsidRPr="00D14ACA">
          <w:rPr>
            <w:rStyle w:val="a5"/>
            <w:b/>
            <w:sz w:val="20"/>
            <w:szCs w:val="20"/>
            <w:lang w:val="en-US"/>
          </w:rPr>
          <w:t>mail</w:t>
        </w:r>
        <w:r w:rsidRPr="00D14ACA">
          <w:rPr>
            <w:rStyle w:val="a5"/>
            <w:b/>
            <w:sz w:val="20"/>
            <w:szCs w:val="20"/>
          </w:rPr>
          <w:t>.</w:t>
        </w:r>
        <w:r w:rsidRPr="00D14ACA">
          <w:rPr>
            <w:rStyle w:val="a5"/>
            <w:b/>
            <w:sz w:val="20"/>
            <w:szCs w:val="20"/>
            <w:lang w:val="en-US"/>
          </w:rPr>
          <w:t>ru</w:t>
        </w:r>
      </w:hyperlink>
    </w:p>
    <w:tbl>
      <w:tblPr>
        <w:tblStyle w:val="a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3D70F4" w:rsidRPr="00D14ACA">
        <w:trPr>
          <w:trHeight w:val="850"/>
        </w:trPr>
        <w:tc>
          <w:tcPr>
            <w:tcW w:w="3190" w:type="dxa"/>
          </w:tcPr>
          <w:p w:rsidR="003D70F4" w:rsidRPr="00D14ACA" w:rsidRDefault="003D70F4">
            <w:pPr>
              <w:rPr>
                <w:sz w:val="24"/>
                <w:szCs w:val="24"/>
              </w:rPr>
            </w:pPr>
          </w:p>
        </w:tc>
        <w:tc>
          <w:tcPr>
            <w:tcW w:w="3190" w:type="dxa"/>
            <w:vAlign w:val="center"/>
          </w:tcPr>
          <w:p w:rsidR="003D70F4" w:rsidRPr="00D14ACA" w:rsidRDefault="00834D44">
            <w:pPr>
              <w:jc w:val="center"/>
              <w:rPr>
                <w:sz w:val="24"/>
                <w:szCs w:val="24"/>
              </w:rPr>
            </w:pPr>
            <w:r w:rsidRPr="00D14ACA">
              <w:rPr>
                <w:b/>
                <w:sz w:val="24"/>
                <w:szCs w:val="24"/>
              </w:rPr>
              <w:t>ПОСТАНОВЛЕНИЕ</w:t>
            </w:r>
          </w:p>
        </w:tc>
        <w:tc>
          <w:tcPr>
            <w:tcW w:w="3191" w:type="dxa"/>
          </w:tcPr>
          <w:p w:rsidR="003D70F4" w:rsidRPr="00D14ACA" w:rsidRDefault="003D70F4">
            <w:pPr>
              <w:rPr>
                <w:sz w:val="24"/>
                <w:szCs w:val="24"/>
              </w:rPr>
            </w:pPr>
          </w:p>
        </w:tc>
      </w:tr>
      <w:tr w:rsidR="003D70F4" w:rsidRPr="00D14ACA">
        <w:trPr>
          <w:trHeight w:val="850"/>
        </w:trPr>
        <w:tc>
          <w:tcPr>
            <w:tcW w:w="3190" w:type="dxa"/>
            <w:vAlign w:val="center"/>
          </w:tcPr>
          <w:p w:rsidR="003D70F4" w:rsidRPr="00D14ACA" w:rsidRDefault="00834D44" w:rsidP="009A125D">
            <w:pPr>
              <w:jc w:val="center"/>
              <w:rPr>
                <w:sz w:val="24"/>
                <w:szCs w:val="24"/>
              </w:rPr>
            </w:pPr>
            <w:r w:rsidRPr="00D14ACA">
              <w:rPr>
                <w:sz w:val="24"/>
                <w:szCs w:val="24"/>
              </w:rPr>
              <w:t>«</w:t>
            </w:r>
            <w:r w:rsidR="009A125D">
              <w:rPr>
                <w:sz w:val="24"/>
                <w:szCs w:val="24"/>
              </w:rPr>
              <w:t>18</w:t>
            </w:r>
            <w:r w:rsidRPr="00D14ACA">
              <w:rPr>
                <w:sz w:val="24"/>
                <w:szCs w:val="24"/>
              </w:rPr>
              <w:t xml:space="preserve">» </w:t>
            </w:r>
            <w:r w:rsidR="00EF0036">
              <w:rPr>
                <w:sz w:val="24"/>
                <w:szCs w:val="24"/>
              </w:rPr>
              <w:t>мая</w:t>
            </w:r>
            <w:r w:rsidR="00D14ACA" w:rsidRPr="00D14ACA">
              <w:rPr>
                <w:sz w:val="24"/>
                <w:szCs w:val="24"/>
              </w:rPr>
              <w:t xml:space="preserve"> 202</w:t>
            </w:r>
            <w:r w:rsidR="009A125D">
              <w:rPr>
                <w:sz w:val="24"/>
                <w:szCs w:val="24"/>
              </w:rPr>
              <w:t>1</w:t>
            </w:r>
            <w:r w:rsidRPr="00D14ACA">
              <w:rPr>
                <w:sz w:val="24"/>
                <w:szCs w:val="24"/>
              </w:rPr>
              <w:t xml:space="preserve"> г</w:t>
            </w:r>
            <w:r w:rsidR="002243AD" w:rsidRPr="00D14ACA">
              <w:rPr>
                <w:sz w:val="24"/>
                <w:szCs w:val="24"/>
              </w:rPr>
              <w:t>.</w:t>
            </w:r>
          </w:p>
        </w:tc>
        <w:tc>
          <w:tcPr>
            <w:tcW w:w="3190" w:type="dxa"/>
          </w:tcPr>
          <w:p w:rsidR="003D70F4" w:rsidRPr="00D14ACA" w:rsidRDefault="003D70F4">
            <w:pPr>
              <w:rPr>
                <w:sz w:val="24"/>
                <w:szCs w:val="24"/>
              </w:rPr>
            </w:pPr>
          </w:p>
        </w:tc>
        <w:tc>
          <w:tcPr>
            <w:tcW w:w="3191" w:type="dxa"/>
            <w:vAlign w:val="center"/>
          </w:tcPr>
          <w:p w:rsidR="003D70F4" w:rsidRPr="00D14ACA" w:rsidRDefault="00D14ACA" w:rsidP="00D14ACA">
            <w:pPr>
              <w:jc w:val="center"/>
              <w:rPr>
                <w:sz w:val="24"/>
                <w:szCs w:val="24"/>
              </w:rPr>
            </w:pPr>
            <w:r w:rsidRPr="00D14ACA">
              <w:rPr>
                <w:sz w:val="24"/>
                <w:szCs w:val="24"/>
              </w:rPr>
              <w:t xml:space="preserve">№ </w:t>
            </w:r>
            <w:r w:rsidR="009A125D">
              <w:rPr>
                <w:sz w:val="24"/>
                <w:szCs w:val="24"/>
              </w:rPr>
              <w:t>26</w:t>
            </w:r>
          </w:p>
        </w:tc>
      </w:tr>
      <w:tr w:rsidR="003D70F4" w:rsidRPr="00D14ACA">
        <w:trPr>
          <w:trHeight w:val="850"/>
        </w:trPr>
        <w:tc>
          <w:tcPr>
            <w:tcW w:w="3190" w:type="dxa"/>
            <w:vAlign w:val="center"/>
          </w:tcPr>
          <w:p w:rsidR="003D70F4" w:rsidRPr="00D14ACA" w:rsidRDefault="009061A0" w:rsidP="002243AD">
            <w:pPr>
              <w:jc w:val="both"/>
              <w:rPr>
                <w:sz w:val="24"/>
                <w:szCs w:val="24"/>
              </w:rPr>
            </w:pPr>
            <w:r>
              <w:rPr>
                <w:bCs/>
                <w:sz w:val="24"/>
                <w:szCs w:val="24"/>
              </w:rPr>
              <w:t>«О смене состава</w:t>
            </w:r>
            <w:r w:rsidR="002243AD" w:rsidRPr="00D14ACA">
              <w:rPr>
                <w:bCs/>
                <w:sz w:val="24"/>
                <w:szCs w:val="24"/>
              </w:rPr>
              <w:t xml:space="preserve"> Единой комиссии по осуществлению закупок для нужд администрации Худайбердинского сельского поселения»</w:t>
            </w:r>
          </w:p>
        </w:tc>
        <w:tc>
          <w:tcPr>
            <w:tcW w:w="3190" w:type="dxa"/>
            <w:vAlign w:val="center"/>
          </w:tcPr>
          <w:p w:rsidR="003D70F4" w:rsidRPr="00D14ACA" w:rsidRDefault="003D70F4" w:rsidP="002243AD">
            <w:pPr>
              <w:jc w:val="both"/>
              <w:rPr>
                <w:sz w:val="24"/>
                <w:szCs w:val="24"/>
              </w:rPr>
            </w:pPr>
          </w:p>
        </w:tc>
        <w:tc>
          <w:tcPr>
            <w:tcW w:w="3191" w:type="dxa"/>
            <w:vAlign w:val="center"/>
          </w:tcPr>
          <w:p w:rsidR="003D70F4" w:rsidRPr="00D14ACA" w:rsidRDefault="003D70F4">
            <w:pPr>
              <w:jc w:val="center"/>
              <w:rPr>
                <w:sz w:val="24"/>
                <w:szCs w:val="24"/>
              </w:rPr>
            </w:pPr>
          </w:p>
        </w:tc>
      </w:tr>
    </w:tbl>
    <w:p w:rsidR="003D70F4" w:rsidRPr="00D14ACA" w:rsidRDefault="003D70F4"/>
    <w:p w:rsidR="003D70F4" w:rsidRPr="00D14ACA" w:rsidRDefault="009061A0">
      <w:pPr>
        <w:spacing w:line="360" w:lineRule="auto"/>
        <w:ind w:firstLine="851"/>
        <w:jc w:val="both"/>
      </w:pPr>
      <w:r>
        <w:t xml:space="preserve">В связи </w:t>
      </w:r>
      <w:r w:rsidR="00EF0036">
        <w:t>со сменой кадрового состава в А</w:t>
      </w:r>
      <w:r>
        <w:t xml:space="preserve">дминистрации Худайбердинского поселения. </w:t>
      </w:r>
      <w:r w:rsidR="00834D44" w:rsidRPr="00D14ACA">
        <w:t>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3D70F4" w:rsidRPr="00D14ACA" w:rsidRDefault="003D70F4">
      <w:pPr>
        <w:spacing w:line="360" w:lineRule="auto"/>
        <w:ind w:firstLine="851"/>
        <w:jc w:val="both"/>
      </w:pPr>
    </w:p>
    <w:p w:rsidR="003D70F4" w:rsidRPr="00D14ACA" w:rsidRDefault="00834D44" w:rsidP="009061A0">
      <w:pPr>
        <w:spacing w:line="360" w:lineRule="auto"/>
        <w:ind w:firstLine="851"/>
        <w:jc w:val="center"/>
      </w:pPr>
      <w:r w:rsidRPr="00D14ACA">
        <w:rPr>
          <w:bCs/>
        </w:rPr>
        <w:t>ПОСТАНОВЛЯЮ:</w:t>
      </w:r>
    </w:p>
    <w:p w:rsidR="003D70F4" w:rsidRPr="00D14ACA" w:rsidRDefault="003D70F4">
      <w:pPr>
        <w:spacing w:line="360" w:lineRule="auto"/>
        <w:ind w:firstLine="851"/>
        <w:jc w:val="both"/>
      </w:pPr>
    </w:p>
    <w:p w:rsidR="003D70F4" w:rsidRPr="00D14ACA" w:rsidRDefault="00EF0036" w:rsidP="00EF0036">
      <w:pPr>
        <w:pStyle w:val="a7"/>
        <w:numPr>
          <w:ilvl w:val="0"/>
          <w:numId w:val="1"/>
        </w:numPr>
        <w:spacing w:line="360" w:lineRule="auto"/>
        <w:ind w:left="0" w:firstLine="851"/>
        <w:jc w:val="both"/>
      </w:pPr>
      <w:r>
        <w:t>Утвердить новый состав Единой комиссии</w:t>
      </w:r>
      <w:r w:rsidR="00834D44" w:rsidRPr="00D14ACA">
        <w:t xml:space="preserve"> по осуществлению закупок путем проведения конкурсов, аукционов и запросов котировок для определения поставщиков (подрядчиков, исполнителей) в целях заключения с ними контрактов на поставки товаров (выполнение работ, оказание услуг) для нужд администрации Худайбердинского сельского поселения.</w:t>
      </w:r>
      <w:r>
        <w:t xml:space="preserve"> </w:t>
      </w:r>
      <w:r w:rsidR="00834D44" w:rsidRPr="00D14ACA">
        <w:t>Состав единой комиссии определить в Приложении №2 к настоящему постановлению.</w:t>
      </w:r>
    </w:p>
    <w:p w:rsidR="003D70F4" w:rsidRPr="00D14ACA" w:rsidRDefault="00834D44">
      <w:pPr>
        <w:spacing w:line="360" w:lineRule="auto"/>
        <w:ind w:firstLine="851"/>
        <w:jc w:val="both"/>
      </w:pPr>
      <w:r w:rsidRPr="00D14ACA">
        <w:t>2. Задачи и функции председателя, заместителя председателя, членов и секретаря единой комиссии определить в соответствии с Положением о закупках товаров, работ, услуг для нужд администрации Худайбердинского сельского поселения (Приложение №1 к настоящему постановлению).</w:t>
      </w:r>
    </w:p>
    <w:p w:rsidR="00EF0036" w:rsidRDefault="00834D44">
      <w:pPr>
        <w:spacing w:line="360" w:lineRule="auto"/>
        <w:ind w:firstLine="851"/>
        <w:jc w:val="both"/>
      </w:pPr>
      <w:r w:rsidRPr="00D14ACA">
        <w:t xml:space="preserve">3. </w:t>
      </w:r>
      <w:r w:rsidR="00EF0036">
        <w:t>Обнародовать настоящее Постановление на информационных стендах и официальном сайте администрации Худайбердинского сельского поселения.</w:t>
      </w:r>
    </w:p>
    <w:p w:rsidR="00EF0036" w:rsidRDefault="00EF0036">
      <w:pPr>
        <w:spacing w:line="360" w:lineRule="auto"/>
        <w:ind w:firstLine="851"/>
        <w:jc w:val="both"/>
      </w:pPr>
      <w:r>
        <w:t>4. Постановление вступает в силу с момента опубликования.</w:t>
      </w:r>
    </w:p>
    <w:tbl>
      <w:tblPr>
        <w:tblStyle w:val="a6"/>
        <w:tblpPr w:leftFromText="180" w:rightFromText="180" w:vertAnchor="text" w:horzAnchor="margin" w:tblpXSpec="center" w:tblpY="473"/>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3261"/>
        <w:gridCol w:w="2233"/>
      </w:tblGrid>
      <w:tr w:rsidR="00EF0036" w:rsidRPr="00D14ACA" w:rsidTr="00EF0036">
        <w:tc>
          <w:tcPr>
            <w:tcW w:w="4077" w:type="dxa"/>
          </w:tcPr>
          <w:p w:rsidR="00EF0036" w:rsidRPr="00D14ACA" w:rsidRDefault="00EF0036" w:rsidP="00EF0036">
            <w:pPr>
              <w:tabs>
                <w:tab w:val="left" w:pos="1560"/>
              </w:tabs>
              <w:rPr>
                <w:rFonts w:eastAsia="Calibri"/>
                <w:sz w:val="24"/>
                <w:szCs w:val="24"/>
                <w:lang w:eastAsia="en-US"/>
              </w:rPr>
            </w:pPr>
            <w:r w:rsidRPr="00D14ACA">
              <w:rPr>
                <w:rFonts w:eastAsia="Calibri"/>
                <w:sz w:val="24"/>
                <w:szCs w:val="24"/>
                <w:lang w:eastAsia="en-US"/>
              </w:rPr>
              <w:t>Глава Худайбердинского сельского поселения</w:t>
            </w:r>
          </w:p>
        </w:tc>
        <w:tc>
          <w:tcPr>
            <w:tcW w:w="3261" w:type="dxa"/>
            <w:tcBorders>
              <w:bottom w:val="single" w:sz="4" w:space="0" w:color="000000"/>
            </w:tcBorders>
          </w:tcPr>
          <w:p w:rsidR="00EF0036" w:rsidRPr="00D14ACA" w:rsidRDefault="00EF0036" w:rsidP="00EF0036">
            <w:pPr>
              <w:tabs>
                <w:tab w:val="left" w:pos="1560"/>
              </w:tabs>
              <w:jc w:val="both"/>
              <w:rPr>
                <w:rFonts w:eastAsia="Calibri"/>
                <w:sz w:val="24"/>
                <w:szCs w:val="24"/>
                <w:lang w:eastAsia="en-US"/>
              </w:rPr>
            </w:pPr>
          </w:p>
        </w:tc>
        <w:tc>
          <w:tcPr>
            <w:tcW w:w="2233" w:type="dxa"/>
            <w:vAlign w:val="bottom"/>
          </w:tcPr>
          <w:p w:rsidR="00EF0036" w:rsidRPr="00D14ACA" w:rsidRDefault="00EF0036" w:rsidP="00EF0036">
            <w:pPr>
              <w:tabs>
                <w:tab w:val="left" w:pos="1560"/>
              </w:tabs>
              <w:jc w:val="center"/>
              <w:rPr>
                <w:sz w:val="24"/>
                <w:szCs w:val="24"/>
              </w:rPr>
            </w:pPr>
            <w:r w:rsidRPr="00D14ACA">
              <w:rPr>
                <w:sz w:val="24"/>
                <w:szCs w:val="24"/>
              </w:rPr>
              <w:t>Е.Н.Филатова</w:t>
            </w:r>
          </w:p>
        </w:tc>
      </w:tr>
    </w:tbl>
    <w:p w:rsidR="003D70F4" w:rsidRPr="00EF0036" w:rsidRDefault="00EF0036" w:rsidP="00EF0036">
      <w:pPr>
        <w:spacing w:line="360" w:lineRule="auto"/>
        <w:ind w:firstLine="851"/>
        <w:jc w:val="both"/>
      </w:pPr>
      <w:r>
        <w:t xml:space="preserve">5. </w:t>
      </w:r>
      <w:r w:rsidR="00834D44" w:rsidRPr="00D14ACA">
        <w:t>Контроль за исполн</w:t>
      </w:r>
      <w:r>
        <w:t>ением приказа оставляю за собой.</w:t>
      </w:r>
    </w:p>
    <w:tbl>
      <w:tblPr>
        <w:tblStyle w:val="a6"/>
        <w:tblW w:w="96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15"/>
        <w:gridCol w:w="3215"/>
        <w:gridCol w:w="3216"/>
      </w:tblGrid>
      <w:tr w:rsidR="003D70F4" w:rsidRPr="00D14ACA" w:rsidTr="00D14ACA">
        <w:trPr>
          <w:trHeight w:val="3986"/>
          <w:jc w:val="center"/>
        </w:trPr>
        <w:tc>
          <w:tcPr>
            <w:tcW w:w="3215" w:type="dxa"/>
          </w:tcPr>
          <w:p w:rsidR="003D70F4" w:rsidRPr="00D14ACA" w:rsidRDefault="003D70F4">
            <w:pPr>
              <w:tabs>
                <w:tab w:val="left" w:pos="1560"/>
              </w:tabs>
              <w:jc w:val="both"/>
              <w:rPr>
                <w:rFonts w:eastAsia="Calibri"/>
                <w:sz w:val="24"/>
                <w:szCs w:val="24"/>
                <w:lang w:eastAsia="en-US"/>
              </w:rPr>
            </w:pPr>
          </w:p>
        </w:tc>
        <w:tc>
          <w:tcPr>
            <w:tcW w:w="3215" w:type="dxa"/>
          </w:tcPr>
          <w:p w:rsidR="003D70F4" w:rsidRPr="00D14ACA" w:rsidRDefault="003D70F4">
            <w:pPr>
              <w:tabs>
                <w:tab w:val="left" w:pos="1560"/>
              </w:tabs>
              <w:jc w:val="both"/>
              <w:rPr>
                <w:rFonts w:eastAsia="Calibri"/>
                <w:sz w:val="24"/>
                <w:szCs w:val="24"/>
                <w:lang w:eastAsia="en-US"/>
              </w:rPr>
            </w:pPr>
          </w:p>
        </w:tc>
        <w:tc>
          <w:tcPr>
            <w:tcW w:w="3216" w:type="dxa"/>
          </w:tcPr>
          <w:p w:rsidR="003D70F4" w:rsidRPr="00D14ACA" w:rsidRDefault="00834D44">
            <w:pPr>
              <w:tabs>
                <w:tab w:val="left" w:pos="1560"/>
              </w:tabs>
              <w:jc w:val="both"/>
              <w:rPr>
                <w:rFonts w:eastAsia="Calibri"/>
                <w:sz w:val="24"/>
                <w:szCs w:val="24"/>
                <w:lang w:eastAsia="en-US"/>
              </w:rPr>
            </w:pPr>
            <w:r w:rsidRPr="00D14ACA">
              <w:rPr>
                <w:rFonts w:eastAsia="Calibri"/>
                <w:sz w:val="24"/>
                <w:szCs w:val="24"/>
                <w:lang w:eastAsia="en-US"/>
              </w:rPr>
              <w:t>Приложение №1 к постановлению Главы Худайбердинского сельского поселения от 20.06.2016 №</w:t>
            </w:r>
            <w:r w:rsidR="002243AD" w:rsidRPr="00D14ACA">
              <w:rPr>
                <w:rFonts w:eastAsia="Calibri"/>
                <w:sz w:val="24"/>
                <w:szCs w:val="24"/>
                <w:lang w:eastAsia="en-US"/>
              </w:rPr>
              <w:t xml:space="preserve"> 54</w:t>
            </w:r>
          </w:p>
          <w:p w:rsidR="002243AD" w:rsidRPr="00D14ACA" w:rsidRDefault="002243AD">
            <w:pPr>
              <w:tabs>
                <w:tab w:val="left" w:pos="1560"/>
              </w:tabs>
              <w:jc w:val="both"/>
              <w:rPr>
                <w:rFonts w:eastAsia="Calibri"/>
                <w:sz w:val="24"/>
                <w:szCs w:val="24"/>
                <w:lang w:eastAsia="en-US"/>
              </w:rPr>
            </w:pPr>
            <w:r w:rsidRPr="00D14ACA">
              <w:rPr>
                <w:rFonts w:eastAsia="Calibri"/>
                <w:sz w:val="24"/>
                <w:szCs w:val="24"/>
                <w:lang w:eastAsia="en-US"/>
              </w:rPr>
              <w:t>с изменениями от 07.05.2019 г. № 23б</w:t>
            </w:r>
          </w:p>
          <w:p w:rsidR="00D14ACA" w:rsidRPr="00D14ACA" w:rsidRDefault="00D14ACA" w:rsidP="00D14ACA">
            <w:pPr>
              <w:tabs>
                <w:tab w:val="left" w:pos="1560"/>
              </w:tabs>
              <w:jc w:val="both"/>
              <w:rPr>
                <w:rFonts w:eastAsia="Calibri"/>
                <w:sz w:val="24"/>
                <w:szCs w:val="24"/>
                <w:lang w:eastAsia="en-US"/>
              </w:rPr>
            </w:pPr>
            <w:r w:rsidRPr="00D14ACA">
              <w:rPr>
                <w:rFonts w:eastAsia="Calibri"/>
                <w:sz w:val="24"/>
                <w:szCs w:val="24"/>
                <w:lang w:eastAsia="en-US"/>
              </w:rPr>
              <w:t>с изменениями от 30.04.2020 г. № 26</w:t>
            </w:r>
          </w:p>
          <w:p w:rsidR="00D14ACA" w:rsidRDefault="00D14ACA">
            <w:pPr>
              <w:tabs>
                <w:tab w:val="left" w:pos="1560"/>
              </w:tabs>
              <w:jc w:val="both"/>
              <w:rPr>
                <w:rFonts w:eastAsia="Calibri"/>
                <w:sz w:val="24"/>
                <w:szCs w:val="24"/>
                <w:lang w:eastAsia="en-US"/>
              </w:rPr>
            </w:pPr>
            <w:r>
              <w:rPr>
                <w:rFonts w:eastAsia="Calibri"/>
                <w:sz w:val="24"/>
                <w:szCs w:val="24"/>
                <w:lang w:eastAsia="en-US"/>
              </w:rPr>
              <w:t>с изменение от 27.11.2020 г. № 65</w:t>
            </w:r>
          </w:p>
          <w:p w:rsidR="009A125D" w:rsidRPr="00D14ACA" w:rsidRDefault="009061A0" w:rsidP="009A125D">
            <w:pPr>
              <w:tabs>
                <w:tab w:val="left" w:pos="1560"/>
              </w:tabs>
              <w:jc w:val="both"/>
              <w:rPr>
                <w:rFonts w:eastAsia="Calibri"/>
                <w:sz w:val="24"/>
                <w:szCs w:val="24"/>
                <w:lang w:eastAsia="en-US"/>
              </w:rPr>
            </w:pPr>
            <w:r>
              <w:rPr>
                <w:rFonts w:eastAsia="Calibri"/>
                <w:sz w:val="24"/>
                <w:szCs w:val="24"/>
                <w:lang w:eastAsia="en-US"/>
              </w:rPr>
              <w:t>с изменение от 18.05</w:t>
            </w:r>
            <w:r w:rsidR="009A125D">
              <w:rPr>
                <w:rFonts w:eastAsia="Calibri"/>
                <w:sz w:val="24"/>
                <w:szCs w:val="24"/>
                <w:lang w:eastAsia="en-US"/>
              </w:rPr>
              <w:t xml:space="preserve">.2021 г. № </w:t>
            </w:r>
            <w:r>
              <w:rPr>
                <w:rFonts w:eastAsia="Calibri"/>
                <w:sz w:val="24"/>
                <w:szCs w:val="24"/>
                <w:lang w:eastAsia="en-US"/>
              </w:rPr>
              <w:t>26</w:t>
            </w:r>
          </w:p>
        </w:tc>
      </w:tr>
    </w:tbl>
    <w:p w:rsidR="003D70F4" w:rsidRPr="00D14ACA" w:rsidRDefault="00834D44">
      <w:pPr>
        <w:tabs>
          <w:tab w:val="left" w:pos="1560"/>
        </w:tabs>
        <w:spacing w:after="200" w:line="360" w:lineRule="auto"/>
        <w:jc w:val="center"/>
        <w:rPr>
          <w:rFonts w:eastAsia="Calibri"/>
          <w:lang w:eastAsia="en-US"/>
        </w:rPr>
      </w:pPr>
      <w:r w:rsidRPr="00D14ACA">
        <w:rPr>
          <w:rFonts w:eastAsia="Calibri"/>
          <w:lang w:eastAsia="en-US"/>
        </w:rPr>
        <w:t xml:space="preserve">ПОЛОЖЕНИЕ О ЕДИНОЙ КОМИССИИ ПО ОПРЕДЕЛЕНИЮ ПОСТАВЩИКОВ (ПОДРЯДЧИКОВ, ИСПОЛНИТЕЛЕЙ) АДМИНИСТРАЦИИ ХУДАЙБЕРДИНСКОГО СЕЛЬСКОГО ПОСЕЛЕНИЯ </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1. Общие положения</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1.1. 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администрации Худайбердинского сельского поселения (далее — Заказчик)для заключения контрактов на поставку товаров, выполнение работ, оказание услуг для нужд заказчика путем проведения конкурсов, аукционов, запросов котировок, запросов предложений.</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1.2. Основные понятия:</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lastRenderedPageBreak/>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lastRenderedPageBreak/>
        <w:t>— запрос котировок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запрос предложений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1.3. Процедуры по определению поставщиков (подрядчиков, исполнителей) проводятся самим заказчиком.</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1.6. При отсутствии председателя Единой комиссии его обязанности исполняет заместитель председателя.</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lastRenderedPageBreak/>
        <w:t>2. Правовое регулирование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Единая комиссия в процессе своей деятельности руководствуется Бюджетным кодексом Российской Федерации, Гражданским кодексом Российской Федерации, Законом о контрактной системе, Федеральным законом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3. Цели создания и принципы работы Единой комиссии</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3.2. В своей деятельности Единая комиссия руководствуется следующими принципами.</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3.2.1. Эффективность и экономичность использования выделенных средств бюджета и внебюджетных источников финансирования.</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3.2.2. Публичность, гласность, открытость и прозрачность процедуры определения поставщиков (подрядчиков, исполнителей).</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3.2.4. Устранение возможностей злоупотребления и коррупции при определении поставщиков (подрядчиков, исполнителей).</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 Функции Единой комиссии</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lastRenderedPageBreak/>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lastRenderedPageBreak/>
        <w:t>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4.1.5. В обязанности Единой комиссии входит рассмотрение и оценка конкурсных заявок.</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Результаты рассмотрения заявок на участие в конкурсе фиксируются в протоколе рассмотрения и оценки заявок на участие в конкурсе.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xml:space="preserve">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w:t>
      </w:r>
      <w:r w:rsidRPr="00D14ACA">
        <w:rPr>
          <w:rFonts w:eastAsia="Calibri"/>
          <w:lang w:eastAsia="en-US"/>
        </w:rPr>
        <w:lastRenderedPageBreak/>
        <w:t>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место, дата, время проведения рассмотрения и оценки таких заявок;</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информация об участниках конкурса, заявки на участие в конкурсе которых были рассмотрены;</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решение каждого члена комиссии об отклонении заявок на участие в конкурсе;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порядок оценки заявок на участие в конкурсе;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присвоенные заявкам на участие в конкурсе значения по каждому из предусмотренных критериев оценки заявок на участие в конкурсе;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принятое на основании результатов оценки заявок на участие в конкурсе решение о присвоении таким заявкам порядковых номеров;</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lastRenderedPageBreak/>
        <w:t>— место, дата, время проведения рассмотрения такой заявки;</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решение каждого члена комиссии о соответствии такой заявки требованиям Закона о контрактной системе и конкурсной документации;</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решение о возможности заключения контракта с участником конкурса, подавшим единственную заявку на участие в конкурсе.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4.1.11. Протоколы, указанные в п. п. 4.1.9 и 4.1.10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 контрактной системе.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4.2. Особенности проведения конкурса с ограниченным участием.</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4.2.1. При проведении конкурса с ограниченным участием применяются положения Закона о контрактной системе о проведении открытого конкурса, п. 4.1 настоящего Положения с учетом особенностей, определенных ст. 56 Закона о контрактной системе.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4.3. Особенности проведения двухэтапного конкурса.</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ст. 57 Закона о контрактной системе.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lastRenderedPageBreak/>
        <w:t>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4.3.3.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lastRenderedPageBreak/>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Участник электронного аукциона не допускается к участию в нем в случае: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lastRenderedPageBreak/>
        <w:t>— непредоставления информации, предусмотренной ч. 3 ст. 66 Закона о контрактной системе, или предоставления недостоверной информации;</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несоответствия информации, предусмотренной ч. 3 ст. 66 Закона о контрактной системе, требованиям документации о таком аукционе.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Отказ в допуске к участию в электронном аукционе по иным основаниям не допускается.</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Указанный протокол должен содержать информацию:</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о порядковых номерах заявок на участие в таком аукционе;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xml:space="preserve">4.5.4.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w:t>
      </w:r>
      <w:r w:rsidRPr="00D14ACA">
        <w:rPr>
          <w:rFonts w:eastAsia="Calibri"/>
          <w:lang w:eastAsia="en-US"/>
        </w:rPr>
        <w:lastRenderedPageBreak/>
        <w:t>указанный в п. 4.5.3 настоящего Положения, вносится информация о признании такого аукциона несостоявшимся.</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ст. 68 Закона о контрактной системе, в части соответствия их требованиям, установленным документацией о таком аукционе.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4.5.6. Единая комиссия рассматривает вторые части заявок на участие в электронном аукционе, направленных в соответствии с ч. 19 ст. 68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 18 ст. 68 Закона о контрактной системе.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xml:space="preserve">— непредставления документов и информации, которые предусмотрены п. п. 1, 3 — 5, 7 и 8 ч. 2 ст. 62, ч. 3 и 5 ст. 66 Закона о контрактной системе, несоответствия </w:t>
      </w:r>
      <w:r w:rsidRPr="00D14ACA">
        <w:rPr>
          <w:rFonts w:eastAsia="Calibri"/>
          <w:lang w:eastAsia="en-US"/>
        </w:rPr>
        <w:lastRenderedPageBreak/>
        <w:t>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несоответствия участника такого аукциона требованиям, установленным в соответствии со ст. 31 Закона о контрактной системе.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xml:space="preserve">4.5.9. Участник электронного аукциона, который предложил наиболее низкую цену контракта и заявка на участие в таком аукционе которого соответствует </w:t>
      </w:r>
      <w:r w:rsidRPr="00D14ACA">
        <w:rPr>
          <w:rFonts w:eastAsia="Calibri"/>
          <w:lang w:eastAsia="en-US"/>
        </w:rPr>
        <w:lastRenderedPageBreak/>
        <w:t>требованиям, установленным документацией о нем, признается победителем такого аукциона.</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Указанный протокол должен содержать следующую информацию:</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xml:space="preserve">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w:t>
      </w:r>
      <w:r w:rsidRPr="00D14ACA">
        <w:rPr>
          <w:rFonts w:eastAsia="Calibri"/>
          <w:lang w:eastAsia="en-US"/>
        </w:rPr>
        <w:lastRenderedPageBreak/>
        <w:t>данную заявку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Указанный протокол должен содержать следующую информацию:</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Указанный протокол должен содержать следующую информацию:</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xml:space="preserve">— 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w:t>
      </w:r>
      <w:r w:rsidRPr="00D14ACA">
        <w:rPr>
          <w:rFonts w:eastAsia="Calibri"/>
          <w:lang w:eastAsia="en-US"/>
        </w:rPr>
        <w:lastRenderedPageBreak/>
        <w:t>которым не соответствуют данные заявки, содержания данных заявок, которое не соответствует требованиям документации о таком аукционе;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о контрактной системе.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4.6.1.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lastRenderedPageBreak/>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4.6.3.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 73 Закона о контрактной системе.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Отклонение заявок на участие в запросе котировок по иным основаниям не допускается.</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Закона о контрактной системе и положений извещения о проведении запроса котировок, которым </w:t>
      </w:r>
      <w:r w:rsidRPr="00D14ACA">
        <w:rPr>
          <w:rFonts w:eastAsia="Calibri"/>
          <w:lang w:eastAsia="en-US"/>
        </w:rPr>
        <w:lastRenderedPageBreak/>
        <w:t>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Закона о контрактной системе.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xml:space="preserve">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w:t>
      </w:r>
      <w:r w:rsidRPr="00D14ACA">
        <w:rPr>
          <w:rFonts w:eastAsia="Calibri"/>
          <w:lang w:eastAsia="en-US"/>
        </w:rPr>
        <w:lastRenderedPageBreak/>
        <w:t>более заявок на участие в запросе предложений заявки такого участника не рассматриваются и возвращаются ему.</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lastRenderedPageBreak/>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Закона о контрактной системе.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5. Порядок создания и работы Единой комиссии</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приказом заказчика.</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lastRenderedPageBreak/>
        <w:t>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5.6. Замена члена комиссии допускается только по решению заказчика.</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 xml:space="preserve">5.8. Уведомление членов Единой комиссии о месте, дате и времени проведения заседаний комиссии осуществляется не позднее, чем за два рабочих дня до даты </w:t>
      </w:r>
      <w:r w:rsidRPr="00D14ACA">
        <w:rPr>
          <w:rFonts w:eastAsia="Calibri"/>
          <w:lang w:eastAsia="en-US"/>
        </w:rPr>
        <w:lastRenderedPageBreak/>
        <w:t>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5.9. Члены Единой комиссии вправе: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5.9.2. Выступать по вопросам повестки дня на заседаниях Единой комиссии.</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5.10. Члены Единой комиссии обязаны:</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5.10.2. Принимать решения в пределах своей компетенции.</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5.11. Решение Единой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5.12. Председатель Единой комиссии либо лицо, его замещающее:</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5.12.1. Осуществляет общее руководство работой Единой комиссии и обеспечивает выполнение настоящего Положения.</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5.12.2. Объявляет заседание правомочным или выносит решение о его переносе из-за отсутствия необходимого количества членов.</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5.12.3. Открывает и ведет заседания Единой комиссии, объявляет перерывы.</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5.12.4. В случае необходимости выносит на обсуждение Единой комиссии вопрос о привлечении к работе экспертов.</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lastRenderedPageBreak/>
        <w:t>5.12.5. Подписывает протоколы, составленные в ходе работы Единой комиссии.</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3D70F4" w:rsidRPr="00D14ACA" w:rsidRDefault="00834D44">
      <w:pPr>
        <w:tabs>
          <w:tab w:val="left" w:pos="1560"/>
        </w:tabs>
        <w:spacing w:after="200" w:line="360" w:lineRule="auto"/>
        <w:ind w:firstLine="851"/>
        <w:jc w:val="both"/>
        <w:rPr>
          <w:rFonts w:eastAsia="Calibri"/>
          <w:lang w:eastAsia="en-US"/>
        </w:rPr>
      </w:pPr>
      <w:r w:rsidRPr="00D14ACA">
        <w:rPr>
          <w:rFonts w:eastAsia="Calibri"/>
          <w:lang w:eastAsia="en-US"/>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3D70F4" w:rsidRPr="00D14ACA" w:rsidRDefault="00834D44">
      <w:pPr>
        <w:tabs>
          <w:tab w:val="left" w:pos="1560"/>
        </w:tabs>
        <w:spacing w:after="200" w:line="360" w:lineRule="auto"/>
        <w:ind w:firstLine="851"/>
        <w:jc w:val="both"/>
      </w:pPr>
      <w:r w:rsidRPr="00D14ACA">
        <w:rPr>
          <w:rFonts w:eastAsia="Calibri"/>
          <w:lang w:eastAsia="en-US"/>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3D70F4" w:rsidRDefault="003D70F4">
      <w:pPr>
        <w:tabs>
          <w:tab w:val="left" w:pos="1560"/>
        </w:tabs>
        <w:spacing w:after="200" w:line="276" w:lineRule="auto"/>
        <w:ind w:firstLine="851"/>
        <w:jc w:val="both"/>
        <w:rPr>
          <w:rFonts w:eastAsia="Calibri"/>
          <w:sz w:val="28"/>
          <w:szCs w:val="28"/>
          <w:lang w:eastAsia="en-US"/>
        </w:rPr>
      </w:pPr>
    </w:p>
    <w:p w:rsidR="003D70F4" w:rsidRDefault="00834D44">
      <w:pPr>
        <w:spacing w:after="200" w:line="276" w:lineRule="auto"/>
        <w:rPr>
          <w:rFonts w:eastAsia="Calibri"/>
          <w:sz w:val="28"/>
          <w:szCs w:val="28"/>
          <w:lang w:eastAsia="en-US"/>
        </w:rPr>
      </w:pPr>
      <w:r>
        <w:rPr>
          <w:rFonts w:eastAsia="Calibri"/>
          <w:sz w:val="28"/>
          <w:szCs w:val="28"/>
          <w:lang w:eastAsia="en-US"/>
        </w:rPr>
        <w:br w:type="page"/>
      </w:r>
    </w:p>
    <w:tbl>
      <w:tblPr>
        <w:tblStyle w:val="a6"/>
        <w:tblW w:w="100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5"/>
        <w:gridCol w:w="3345"/>
        <w:gridCol w:w="3346"/>
      </w:tblGrid>
      <w:tr w:rsidR="003D70F4" w:rsidRPr="00D14ACA" w:rsidTr="00D14ACA">
        <w:trPr>
          <w:trHeight w:val="3763"/>
          <w:jc w:val="center"/>
        </w:trPr>
        <w:tc>
          <w:tcPr>
            <w:tcW w:w="3345" w:type="dxa"/>
          </w:tcPr>
          <w:p w:rsidR="003D70F4" w:rsidRPr="00D14ACA" w:rsidRDefault="003D70F4">
            <w:pPr>
              <w:tabs>
                <w:tab w:val="left" w:pos="1560"/>
              </w:tabs>
              <w:jc w:val="both"/>
              <w:rPr>
                <w:rFonts w:eastAsia="Calibri"/>
                <w:sz w:val="24"/>
                <w:szCs w:val="24"/>
                <w:lang w:eastAsia="en-US"/>
              </w:rPr>
            </w:pPr>
          </w:p>
        </w:tc>
        <w:tc>
          <w:tcPr>
            <w:tcW w:w="3345" w:type="dxa"/>
          </w:tcPr>
          <w:p w:rsidR="003D70F4" w:rsidRPr="00D14ACA" w:rsidRDefault="003D70F4">
            <w:pPr>
              <w:tabs>
                <w:tab w:val="left" w:pos="1560"/>
              </w:tabs>
              <w:jc w:val="both"/>
              <w:rPr>
                <w:rFonts w:eastAsia="Calibri"/>
                <w:sz w:val="24"/>
                <w:szCs w:val="24"/>
                <w:lang w:eastAsia="en-US"/>
              </w:rPr>
            </w:pPr>
          </w:p>
        </w:tc>
        <w:tc>
          <w:tcPr>
            <w:tcW w:w="3346" w:type="dxa"/>
          </w:tcPr>
          <w:p w:rsidR="003D70F4" w:rsidRPr="00D14ACA" w:rsidRDefault="00834D44">
            <w:pPr>
              <w:tabs>
                <w:tab w:val="left" w:pos="1560"/>
              </w:tabs>
              <w:jc w:val="both"/>
              <w:rPr>
                <w:rFonts w:eastAsia="Calibri"/>
                <w:sz w:val="24"/>
                <w:szCs w:val="24"/>
                <w:lang w:eastAsia="en-US"/>
              </w:rPr>
            </w:pPr>
            <w:r w:rsidRPr="00D14ACA">
              <w:rPr>
                <w:rFonts w:eastAsia="Calibri"/>
                <w:sz w:val="24"/>
                <w:szCs w:val="24"/>
                <w:lang w:eastAsia="en-US"/>
              </w:rPr>
              <w:t>Приложение №2 к постановлению Главы Худайбердинского сельского поселения от 20.06.2016 №</w:t>
            </w:r>
            <w:r w:rsidR="002243AD" w:rsidRPr="00D14ACA">
              <w:rPr>
                <w:rFonts w:eastAsia="Calibri"/>
                <w:sz w:val="24"/>
                <w:szCs w:val="24"/>
                <w:lang w:eastAsia="en-US"/>
              </w:rPr>
              <w:t xml:space="preserve"> 54 </w:t>
            </w:r>
          </w:p>
          <w:p w:rsidR="002243AD" w:rsidRPr="00D14ACA" w:rsidRDefault="002243AD">
            <w:pPr>
              <w:tabs>
                <w:tab w:val="left" w:pos="1560"/>
              </w:tabs>
              <w:jc w:val="both"/>
              <w:rPr>
                <w:rFonts w:eastAsia="Calibri"/>
                <w:sz w:val="24"/>
                <w:szCs w:val="24"/>
                <w:lang w:eastAsia="en-US"/>
              </w:rPr>
            </w:pPr>
            <w:r w:rsidRPr="00D14ACA">
              <w:rPr>
                <w:rFonts w:eastAsia="Calibri"/>
                <w:sz w:val="24"/>
                <w:szCs w:val="24"/>
                <w:lang w:eastAsia="en-US"/>
              </w:rPr>
              <w:t xml:space="preserve">с изменениями от 07.05.2019 г. </w:t>
            </w:r>
          </w:p>
          <w:p w:rsidR="00D14ACA" w:rsidRPr="00D14ACA" w:rsidRDefault="00D14ACA" w:rsidP="00D14ACA">
            <w:pPr>
              <w:tabs>
                <w:tab w:val="left" w:pos="1560"/>
              </w:tabs>
              <w:jc w:val="both"/>
              <w:rPr>
                <w:rFonts w:eastAsia="Calibri"/>
                <w:sz w:val="24"/>
                <w:szCs w:val="24"/>
                <w:lang w:eastAsia="en-US"/>
              </w:rPr>
            </w:pPr>
            <w:r w:rsidRPr="00D14ACA">
              <w:rPr>
                <w:rFonts w:eastAsia="Calibri"/>
                <w:sz w:val="24"/>
                <w:szCs w:val="24"/>
                <w:lang w:eastAsia="en-US"/>
              </w:rPr>
              <w:t>с изменениями от 30.04.2020 г. № 26</w:t>
            </w:r>
          </w:p>
          <w:p w:rsidR="00D14ACA" w:rsidRPr="00D14ACA" w:rsidRDefault="00D14ACA" w:rsidP="00D14ACA">
            <w:pPr>
              <w:tabs>
                <w:tab w:val="left" w:pos="1560"/>
              </w:tabs>
              <w:jc w:val="both"/>
              <w:rPr>
                <w:rFonts w:eastAsia="Calibri"/>
                <w:sz w:val="24"/>
                <w:szCs w:val="24"/>
                <w:lang w:eastAsia="en-US"/>
              </w:rPr>
            </w:pPr>
            <w:r w:rsidRPr="00D14ACA">
              <w:rPr>
                <w:rFonts w:eastAsia="Calibri"/>
                <w:sz w:val="24"/>
                <w:szCs w:val="24"/>
                <w:lang w:eastAsia="en-US"/>
              </w:rPr>
              <w:t>с изменениями от 27.11.2020 г. № 65</w:t>
            </w:r>
          </w:p>
          <w:p w:rsidR="009A125D" w:rsidRPr="00D14ACA" w:rsidRDefault="009A125D" w:rsidP="009A125D">
            <w:pPr>
              <w:tabs>
                <w:tab w:val="left" w:pos="1560"/>
              </w:tabs>
              <w:jc w:val="both"/>
              <w:rPr>
                <w:rFonts w:eastAsia="Calibri"/>
                <w:sz w:val="24"/>
                <w:szCs w:val="24"/>
                <w:lang w:eastAsia="en-US"/>
              </w:rPr>
            </w:pPr>
            <w:r w:rsidRPr="00D14ACA">
              <w:rPr>
                <w:rFonts w:eastAsia="Calibri"/>
                <w:sz w:val="24"/>
                <w:szCs w:val="24"/>
                <w:lang w:eastAsia="en-US"/>
              </w:rPr>
              <w:t xml:space="preserve">с </w:t>
            </w:r>
            <w:r w:rsidR="009061A0">
              <w:rPr>
                <w:rFonts w:eastAsia="Calibri"/>
                <w:sz w:val="24"/>
                <w:szCs w:val="24"/>
                <w:lang w:eastAsia="en-US"/>
              </w:rPr>
              <w:t>изменениями от 18.05</w:t>
            </w:r>
            <w:r w:rsidRPr="00D14ACA">
              <w:rPr>
                <w:rFonts w:eastAsia="Calibri"/>
                <w:sz w:val="24"/>
                <w:szCs w:val="24"/>
                <w:lang w:eastAsia="en-US"/>
              </w:rPr>
              <w:t>.202</w:t>
            </w:r>
            <w:r>
              <w:rPr>
                <w:rFonts w:eastAsia="Calibri"/>
                <w:sz w:val="24"/>
                <w:szCs w:val="24"/>
                <w:lang w:eastAsia="en-US"/>
              </w:rPr>
              <w:t>1</w:t>
            </w:r>
            <w:r w:rsidRPr="00D14ACA">
              <w:rPr>
                <w:rFonts w:eastAsia="Calibri"/>
                <w:sz w:val="24"/>
                <w:szCs w:val="24"/>
                <w:lang w:eastAsia="en-US"/>
              </w:rPr>
              <w:t xml:space="preserve"> г. № </w:t>
            </w:r>
            <w:r>
              <w:rPr>
                <w:rFonts w:eastAsia="Calibri"/>
                <w:sz w:val="24"/>
                <w:szCs w:val="24"/>
                <w:lang w:eastAsia="en-US"/>
              </w:rPr>
              <w:t>26</w:t>
            </w:r>
          </w:p>
          <w:p w:rsidR="00D14ACA" w:rsidRPr="00D14ACA" w:rsidRDefault="00D14ACA">
            <w:pPr>
              <w:tabs>
                <w:tab w:val="left" w:pos="1560"/>
              </w:tabs>
              <w:jc w:val="both"/>
              <w:rPr>
                <w:rFonts w:eastAsia="Calibri"/>
                <w:sz w:val="24"/>
                <w:szCs w:val="24"/>
                <w:lang w:eastAsia="en-US"/>
              </w:rPr>
            </w:pPr>
          </w:p>
        </w:tc>
      </w:tr>
    </w:tbl>
    <w:p w:rsidR="003D70F4" w:rsidRPr="00D14ACA" w:rsidRDefault="003D70F4">
      <w:pPr>
        <w:tabs>
          <w:tab w:val="left" w:pos="1560"/>
        </w:tabs>
        <w:spacing w:after="200" w:line="276" w:lineRule="auto"/>
        <w:ind w:firstLine="851"/>
        <w:jc w:val="both"/>
        <w:rPr>
          <w:rFonts w:eastAsia="Calibri"/>
          <w:lang w:eastAsia="en-US"/>
        </w:rPr>
      </w:pPr>
    </w:p>
    <w:p w:rsidR="003D70F4" w:rsidRPr="00D14ACA" w:rsidRDefault="00834D44">
      <w:pPr>
        <w:spacing w:after="200" w:line="276" w:lineRule="auto"/>
        <w:jc w:val="center"/>
        <w:rPr>
          <w:rFonts w:eastAsia="Calibri"/>
          <w:lang w:eastAsia="en-US"/>
        </w:rPr>
      </w:pPr>
      <w:r w:rsidRPr="00D14ACA">
        <w:rPr>
          <w:rFonts w:eastAsia="Calibri"/>
          <w:lang w:eastAsia="en-US"/>
        </w:rPr>
        <w:t>СОСТАВ ЕДИНОЙ КОМИССИИ ПО ОПРЕДЕЛЕНИЮ ПОСТАВЩИКОВ (ПОДРЯДЧИКОВ, ИСПОЛНИТЕЛЕЙ) АДМИНИСТРАЦИИ ХУДАЙБЕРДИНСКОГО СЕЛЬСКОГО ПОСЕЛЕНИЯ</w:t>
      </w:r>
    </w:p>
    <w:tbl>
      <w:tblPr>
        <w:tblStyle w:val="a6"/>
        <w:tblW w:w="9571" w:type="dxa"/>
        <w:tblLook w:val="04A0"/>
      </w:tblPr>
      <w:tblGrid>
        <w:gridCol w:w="675"/>
        <w:gridCol w:w="5387"/>
        <w:gridCol w:w="3509"/>
      </w:tblGrid>
      <w:tr w:rsidR="003D70F4" w:rsidRPr="00D14ACA">
        <w:tc>
          <w:tcPr>
            <w:tcW w:w="675" w:type="dxa"/>
            <w:vAlign w:val="center"/>
          </w:tcPr>
          <w:p w:rsidR="003D70F4" w:rsidRPr="00D14ACA" w:rsidRDefault="00834D44">
            <w:pPr>
              <w:spacing w:after="200" w:line="276" w:lineRule="auto"/>
              <w:jc w:val="center"/>
              <w:rPr>
                <w:rFonts w:eastAsia="Calibri"/>
                <w:sz w:val="24"/>
                <w:szCs w:val="24"/>
                <w:lang w:eastAsia="en-US"/>
              </w:rPr>
            </w:pPr>
            <w:r w:rsidRPr="00D14ACA">
              <w:rPr>
                <w:rFonts w:eastAsia="Calibri"/>
                <w:sz w:val="24"/>
                <w:szCs w:val="24"/>
                <w:lang w:eastAsia="en-US"/>
              </w:rPr>
              <w:t>№</w:t>
            </w:r>
          </w:p>
        </w:tc>
        <w:tc>
          <w:tcPr>
            <w:tcW w:w="5387" w:type="dxa"/>
            <w:vAlign w:val="center"/>
          </w:tcPr>
          <w:p w:rsidR="003D70F4" w:rsidRPr="00D14ACA" w:rsidRDefault="00834D44">
            <w:pPr>
              <w:spacing w:after="200" w:line="276" w:lineRule="auto"/>
              <w:jc w:val="center"/>
              <w:rPr>
                <w:rFonts w:eastAsia="Calibri"/>
                <w:sz w:val="24"/>
                <w:szCs w:val="24"/>
                <w:lang w:eastAsia="en-US"/>
              </w:rPr>
            </w:pPr>
            <w:r w:rsidRPr="00D14ACA">
              <w:rPr>
                <w:rFonts w:eastAsia="Calibri"/>
                <w:sz w:val="24"/>
                <w:szCs w:val="24"/>
                <w:lang w:eastAsia="en-US"/>
              </w:rPr>
              <w:t>Ф.И.О</w:t>
            </w:r>
          </w:p>
        </w:tc>
        <w:tc>
          <w:tcPr>
            <w:tcW w:w="3509" w:type="dxa"/>
            <w:vAlign w:val="center"/>
          </w:tcPr>
          <w:p w:rsidR="003D70F4" w:rsidRPr="00D14ACA" w:rsidRDefault="00834D44">
            <w:pPr>
              <w:spacing w:after="200" w:line="276" w:lineRule="auto"/>
              <w:jc w:val="center"/>
              <w:rPr>
                <w:rFonts w:eastAsia="Calibri"/>
                <w:sz w:val="24"/>
                <w:szCs w:val="24"/>
                <w:lang w:eastAsia="en-US"/>
              </w:rPr>
            </w:pPr>
            <w:r w:rsidRPr="00D14ACA">
              <w:rPr>
                <w:rFonts w:eastAsia="Calibri"/>
                <w:sz w:val="24"/>
                <w:szCs w:val="24"/>
                <w:lang w:eastAsia="en-US"/>
              </w:rPr>
              <w:t>Должность</w:t>
            </w:r>
          </w:p>
        </w:tc>
      </w:tr>
      <w:tr w:rsidR="003D70F4" w:rsidRPr="00D14ACA">
        <w:tc>
          <w:tcPr>
            <w:tcW w:w="675" w:type="dxa"/>
            <w:vAlign w:val="center"/>
          </w:tcPr>
          <w:p w:rsidR="003D70F4" w:rsidRPr="00D14ACA" w:rsidRDefault="00834D44">
            <w:pPr>
              <w:spacing w:after="200" w:line="276" w:lineRule="auto"/>
              <w:jc w:val="center"/>
              <w:rPr>
                <w:rFonts w:eastAsia="Calibri"/>
                <w:sz w:val="24"/>
                <w:szCs w:val="24"/>
                <w:lang w:eastAsia="en-US"/>
              </w:rPr>
            </w:pPr>
            <w:r w:rsidRPr="00D14ACA">
              <w:rPr>
                <w:rFonts w:eastAsia="Calibri"/>
                <w:sz w:val="24"/>
                <w:szCs w:val="24"/>
                <w:lang w:eastAsia="en-US"/>
              </w:rPr>
              <w:t>1</w:t>
            </w:r>
          </w:p>
        </w:tc>
        <w:tc>
          <w:tcPr>
            <w:tcW w:w="5387" w:type="dxa"/>
            <w:vAlign w:val="center"/>
          </w:tcPr>
          <w:p w:rsidR="003D70F4" w:rsidRPr="00D14ACA" w:rsidRDefault="009A125D">
            <w:pPr>
              <w:spacing w:after="200" w:line="276" w:lineRule="auto"/>
              <w:rPr>
                <w:rFonts w:eastAsia="Calibri"/>
                <w:sz w:val="24"/>
                <w:szCs w:val="24"/>
                <w:lang w:eastAsia="en-US"/>
              </w:rPr>
            </w:pPr>
            <w:r>
              <w:rPr>
                <w:rFonts w:eastAsia="Calibri"/>
                <w:sz w:val="24"/>
                <w:szCs w:val="24"/>
                <w:lang w:eastAsia="en-US"/>
              </w:rPr>
              <w:t>Кучукова Залия Данаировна</w:t>
            </w:r>
          </w:p>
        </w:tc>
        <w:tc>
          <w:tcPr>
            <w:tcW w:w="3509" w:type="dxa"/>
            <w:vAlign w:val="center"/>
          </w:tcPr>
          <w:p w:rsidR="003D70F4" w:rsidRPr="00D14ACA" w:rsidRDefault="002243AD">
            <w:pPr>
              <w:spacing w:after="200" w:line="276" w:lineRule="auto"/>
              <w:rPr>
                <w:rFonts w:eastAsia="Calibri"/>
                <w:sz w:val="24"/>
                <w:szCs w:val="24"/>
                <w:lang w:eastAsia="en-US"/>
              </w:rPr>
            </w:pPr>
            <w:r w:rsidRPr="00D14ACA">
              <w:rPr>
                <w:rFonts w:eastAsia="Calibri"/>
                <w:sz w:val="24"/>
                <w:szCs w:val="24"/>
                <w:lang w:eastAsia="en-US"/>
              </w:rPr>
              <w:t xml:space="preserve">Экономист </w:t>
            </w:r>
            <w:r w:rsidR="00834D44" w:rsidRPr="00D14ACA">
              <w:rPr>
                <w:rFonts w:eastAsia="Calibri"/>
                <w:sz w:val="24"/>
                <w:szCs w:val="24"/>
                <w:lang w:eastAsia="en-US"/>
              </w:rPr>
              <w:t xml:space="preserve"> – председатель комиссии</w:t>
            </w:r>
          </w:p>
        </w:tc>
      </w:tr>
      <w:tr w:rsidR="003D70F4" w:rsidRPr="00D14ACA">
        <w:tc>
          <w:tcPr>
            <w:tcW w:w="675" w:type="dxa"/>
            <w:vAlign w:val="center"/>
          </w:tcPr>
          <w:p w:rsidR="003D70F4" w:rsidRPr="00D14ACA" w:rsidRDefault="00834D44">
            <w:pPr>
              <w:spacing w:after="200" w:line="276" w:lineRule="auto"/>
              <w:jc w:val="center"/>
              <w:rPr>
                <w:rFonts w:eastAsia="Calibri"/>
                <w:sz w:val="24"/>
                <w:szCs w:val="24"/>
                <w:lang w:eastAsia="en-US"/>
              </w:rPr>
            </w:pPr>
            <w:r w:rsidRPr="00D14ACA">
              <w:rPr>
                <w:rFonts w:eastAsia="Calibri"/>
                <w:sz w:val="24"/>
                <w:szCs w:val="24"/>
                <w:lang w:eastAsia="en-US"/>
              </w:rPr>
              <w:t>2</w:t>
            </w:r>
          </w:p>
        </w:tc>
        <w:tc>
          <w:tcPr>
            <w:tcW w:w="5387" w:type="dxa"/>
            <w:vAlign w:val="center"/>
          </w:tcPr>
          <w:p w:rsidR="003D70F4" w:rsidRPr="00D14ACA" w:rsidRDefault="00834D44">
            <w:pPr>
              <w:spacing w:after="200" w:line="276" w:lineRule="auto"/>
              <w:rPr>
                <w:rFonts w:eastAsia="Calibri"/>
                <w:sz w:val="24"/>
                <w:szCs w:val="24"/>
                <w:lang w:eastAsia="en-US"/>
              </w:rPr>
            </w:pPr>
            <w:r w:rsidRPr="00D14ACA">
              <w:rPr>
                <w:rFonts w:eastAsia="Calibri"/>
                <w:sz w:val="24"/>
                <w:szCs w:val="24"/>
                <w:lang w:eastAsia="en-US"/>
              </w:rPr>
              <w:t>Галикаева Гульниса Борисовна</w:t>
            </w:r>
          </w:p>
        </w:tc>
        <w:tc>
          <w:tcPr>
            <w:tcW w:w="3509" w:type="dxa"/>
            <w:vAlign w:val="center"/>
          </w:tcPr>
          <w:p w:rsidR="003D70F4" w:rsidRPr="00D14ACA" w:rsidRDefault="00834D44">
            <w:pPr>
              <w:spacing w:after="200" w:line="276" w:lineRule="auto"/>
              <w:rPr>
                <w:rFonts w:eastAsia="Calibri"/>
                <w:sz w:val="24"/>
                <w:szCs w:val="24"/>
                <w:lang w:eastAsia="en-US"/>
              </w:rPr>
            </w:pPr>
            <w:r w:rsidRPr="00D14ACA">
              <w:rPr>
                <w:rFonts w:eastAsia="Calibri"/>
                <w:sz w:val="24"/>
                <w:szCs w:val="24"/>
                <w:lang w:eastAsia="en-US"/>
              </w:rPr>
              <w:t>Главный бухгалтер</w:t>
            </w:r>
          </w:p>
        </w:tc>
      </w:tr>
      <w:tr w:rsidR="003D70F4" w:rsidRPr="00D14ACA">
        <w:tc>
          <w:tcPr>
            <w:tcW w:w="675" w:type="dxa"/>
            <w:vAlign w:val="center"/>
          </w:tcPr>
          <w:p w:rsidR="003D70F4" w:rsidRPr="00D14ACA" w:rsidRDefault="00834D44">
            <w:pPr>
              <w:spacing w:after="200" w:line="276" w:lineRule="auto"/>
              <w:jc w:val="center"/>
              <w:rPr>
                <w:rFonts w:eastAsia="Calibri"/>
                <w:sz w:val="24"/>
                <w:szCs w:val="24"/>
                <w:lang w:eastAsia="en-US"/>
              </w:rPr>
            </w:pPr>
            <w:r w:rsidRPr="00D14ACA">
              <w:rPr>
                <w:rFonts w:eastAsia="Calibri"/>
                <w:sz w:val="24"/>
                <w:szCs w:val="24"/>
                <w:lang w:eastAsia="en-US"/>
              </w:rPr>
              <w:t>3</w:t>
            </w:r>
          </w:p>
        </w:tc>
        <w:tc>
          <w:tcPr>
            <w:tcW w:w="5387" w:type="dxa"/>
            <w:vAlign w:val="center"/>
          </w:tcPr>
          <w:p w:rsidR="003D70F4" w:rsidRPr="00D14ACA" w:rsidRDefault="009A125D">
            <w:pPr>
              <w:spacing w:after="200" w:line="276" w:lineRule="auto"/>
              <w:rPr>
                <w:rFonts w:eastAsia="Calibri"/>
                <w:sz w:val="24"/>
                <w:szCs w:val="24"/>
                <w:lang w:eastAsia="en-US"/>
              </w:rPr>
            </w:pPr>
            <w:r>
              <w:rPr>
                <w:rFonts w:eastAsia="Calibri"/>
                <w:sz w:val="24"/>
                <w:szCs w:val="24"/>
                <w:lang w:eastAsia="en-US"/>
              </w:rPr>
              <w:t>Кучукова Лилия Гаусильевна</w:t>
            </w:r>
          </w:p>
        </w:tc>
        <w:tc>
          <w:tcPr>
            <w:tcW w:w="3509" w:type="dxa"/>
            <w:vAlign w:val="center"/>
          </w:tcPr>
          <w:p w:rsidR="003D70F4" w:rsidRPr="00D14ACA" w:rsidRDefault="00834D44">
            <w:pPr>
              <w:spacing w:after="200" w:line="276" w:lineRule="auto"/>
              <w:rPr>
                <w:rFonts w:eastAsia="Calibri"/>
                <w:sz w:val="24"/>
                <w:szCs w:val="24"/>
                <w:lang w:eastAsia="en-US"/>
              </w:rPr>
            </w:pPr>
            <w:r w:rsidRPr="00D14ACA">
              <w:rPr>
                <w:rFonts w:eastAsia="Calibri"/>
                <w:sz w:val="24"/>
                <w:szCs w:val="24"/>
                <w:lang w:eastAsia="en-US"/>
              </w:rPr>
              <w:t>Бухгалтер</w:t>
            </w:r>
          </w:p>
        </w:tc>
      </w:tr>
      <w:tr w:rsidR="002243AD" w:rsidRPr="00D14ACA">
        <w:tc>
          <w:tcPr>
            <w:tcW w:w="675" w:type="dxa"/>
            <w:vAlign w:val="center"/>
          </w:tcPr>
          <w:p w:rsidR="002243AD" w:rsidRPr="00D14ACA" w:rsidRDefault="002243AD">
            <w:pPr>
              <w:spacing w:after="200" w:line="276" w:lineRule="auto"/>
              <w:jc w:val="center"/>
              <w:rPr>
                <w:rFonts w:eastAsia="Calibri"/>
                <w:sz w:val="24"/>
                <w:szCs w:val="24"/>
                <w:lang w:eastAsia="en-US"/>
              </w:rPr>
            </w:pPr>
            <w:r w:rsidRPr="00D14ACA">
              <w:rPr>
                <w:rFonts w:eastAsia="Calibri"/>
                <w:sz w:val="24"/>
                <w:szCs w:val="24"/>
                <w:lang w:eastAsia="en-US"/>
              </w:rPr>
              <w:t>4</w:t>
            </w:r>
          </w:p>
        </w:tc>
        <w:tc>
          <w:tcPr>
            <w:tcW w:w="5387" w:type="dxa"/>
            <w:vAlign w:val="center"/>
          </w:tcPr>
          <w:p w:rsidR="002243AD" w:rsidRPr="00D14ACA" w:rsidRDefault="00D14ACA">
            <w:pPr>
              <w:spacing w:after="200" w:line="276" w:lineRule="auto"/>
              <w:rPr>
                <w:rFonts w:eastAsia="Calibri"/>
                <w:sz w:val="24"/>
                <w:szCs w:val="24"/>
                <w:lang w:eastAsia="en-US"/>
              </w:rPr>
            </w:pPr>
            <w:r w:rsidRPr="00D14ACA">
              <w:rPr>
                <w:rFonts w:eastAsia="Calibri"/>
                <w:sz w:val="24"/>
                <w:szCs w:val="24"/>
                <w:lang w:eastAsia="en-US"/>
              </w:rPr>
              <w:t>Власова Любовь Григорьевна</w:t>
            </w:r>
          </w:p>
        </w:tc>
        <w:tc>
          <w:tcPr>
            <w:tcW w:w="3509" w:type="dxa"/>
            <w:vAlign w:val="center"/>
          </w:tcPr>
          <w:p w:rsidR="002243AD" w:rsidRPr="00D14ACA" w:rsidRDefault="00D14ACA">
            <w:pPr>
              <w:spacing w:after="200" w:line="276" w:lineRule="auto"/>
              <w:rPr>
                <w:rFonts w:eastAsia="Calibri"/>
                <w:sz w:val="24"/>
                <w:szCs w:val="24"/>
                <w:lang w:eastAsia="en-US"/>
              </w:rPr>
            </w:pPr>
            <w:r w:rsidRPr="00D14ACA">
              <w:rPr>
                <w:rFonts w:eastAsia="Calibri"/>
                <w:sz w:val="24"/>
                <w:szCs w:val="24"/>
                <w:lang w:eastAsia="en-US"/>
              </w:rPr>
              <w:t>Специалист</w:t>
            </w:r>
          </w:p>
        </w:tc>
      </w:tr>
      <w:tr w:rsidR="003D70F4" w:rsidRPr="00D14ACA">
        <w:tc>
          <w:tcPr>
            <w:tcW w:w="675" w:type="dxa"/>
            <w:vAlign w:val="center"/>
          </w:tcPr>
          <w:p w:rsidR="003D70F4" w:rsidRPr="00D14ACA" w:rsidRDefault="002243AD">
            <w:pPr>
              <w:spacing w:after="200" w:line="276" w:lineRule="auto"/>
              <w:jc w:val="center"/>
              <w:rPr>
                <w:rFonts w:eastAsia="Calibri"/>
                <w:sz w:val="24"/>
                <w:szCs w:val="24"/>
                <w:lang w:eastAsia="en-US"/>
              </w:rPr>
            </w:pPr>
            <w:r w:rsidRPr="00D14ACA">
              <w:rPr>
                <w:rFonts w:eastAsia="Calibri"/>
                <w:sz w:val="24"/>
                <w:szCs w:val="24"/>
                <w:lang w:eastAsia="en-US"/>
              </w:rPr>
              <w:t>5</w:t>
            </w:r>
          </w:p>
        </w:tc>
        <w:tc>
          <w:tcPr>
            <w:tcW w:w="5387" w:type="dxa"/>
            <w:vAlign w:val="center"/>
          </w:tcPr>
          <w:p w:rsidR="003D70F4" w:rsidRPr="00D14ACA" w:rsidRDefault="00D14ACA">
            <w:pPr>
              <w:spacing w:after="200" w:line="276" w:lineRule="auto"/>
              <w:rPr>
                <w:rFonts w:eastAsia="Calibri"/>
                <w:sz w:val="24"/>
                <w:szCs w:val="24"/>
                <w:lang w:eastAsia="en-US"/>
              </w:rPr>
            </w:pPr>
            <w:r w:rsidRPr="00D14ACA">
              <w:rPr>
                <w:rFonts w:eastAsia="Calibri"/>
                <w:sz w:val="24"/>
                <w:szCs w:val="24"/>
                <w:lang w:eastAsia="en-US"/>
              </w:rPr>
              <w:t>Маркина Наталья Борисовна</w:t>
            </w:r>
          </w:p>
        </w:tc>
        <w:tc>
          <w:tcPr>
            <w:tcW w:w="3509" w:type="dxa"/>
            <w:vAlign w:val="center"/>
          </w:tcPr>
          <w:p w:rsidR="003D70F4" w:rsidRPr="00D14ACA" w:rsidRDefault="00D14ACA">
            <w:pPr>
              <w:spacing w:after="200" w:line="276" w:lineRule="auto"/>
              <w:rPr>
                <w:rFonts w:eastAsia="Calibri"/>
                <w:sz w:val="24"/>
                <w:szCs w:val="24"/>
                <w:lang w:eastAsia="en-US"/>
              </w:rPr>
            </w:pPr>
            <w:r w:rsidRPr="00D14ACA">
              <w:rPr>
                <w:rFonts w:eastAsia="Calibri"/>
                <w:sz w:val="24"/>
                <w:szCs w:val="24"/>
                <w:lang w:eastAsia="en-US"/>
              </w:rPr>
              <w:t>Документовед</w:t>
            </w:r>
          </w:p>
        </w:tc>
      </w:tr>
    </w:tbl>
    <w:p w:rsidR="003D70F4" w:rsidRPr="00D14ACA" w:rsidRDefault="003D70F4">
      <w:pPr>
        <w:spacing w:after="200" w:line="276" w:lineRule="auto"/>
        <w:jc w:val="center"/>
        <w:rPr>
          <w:rFonts w:eastAsia="Calibri"/>
          <w:lang w:eastAsia="en-US"/>
        </w:rPr>
      </w:pPr>
    </w:p>
    <w:p w:rsidR="003D70F4" w:rsidRPr="00D14ACA" w:rsidRDefault="003D70F4">
      <w:pPr>
        <w:spacing w:line="360" w:lineRule="auto"/>
        <w:ind w:firstLine="851"/>
        <w:jc w:val="both"/>
      </w:pPr>
    </w:p>
    <w:sectPr w:rsidR="003D70F4" w:rsidRPr="00D14ACA" w:rsidSect="003D70F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charSpace="2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266" w:rsidRDefault="00462266" w:rsidP="003D70F4">
      <w:r>
        <w:separator/>
      </w:r>
    </w:p>
  </w:endnote>
  <w:endnote w:type="continuationSeparator" w:id="0">
    <w:p w:rsidR="00462266" w:rsidRDefault="00462266" w:rsidP="003D7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F4" w:rsidRDefault="003D70F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F4" w:rsidRDefault="003D70F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F4" w:rsidRDefault="003D70F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266" w:rsidRDefault="00462266" w:rsidP="003D70F4">
      <w:r>
        <w:separator/>
      </w:r>
    </w:p>
  </w:footnote>
  <w:footnote w:type="continuationSeparator" w:id="0">
    <w:p w:rsidR="00462266" w:rsidRDefault="00462266" w:rsidP="003D7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F4" w:rsidRDefault="003D70F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F4" w:rsidRDefault="003D70F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F4" w:rsidRDefault="003D70F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46679"/>
    <w:multiLevelType w:val="hybridMultilevel"/>
    <w:tmpl w:val="2A1825B8"/>
    <w:lvl w:ilvl="0" w:tplc="166478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isplayHorizontalDrawingGridEvery w:val="0"/>
  <w:displayVerticalDrawingGridEvery w:val="2"/>
  <w:doNotUseMarginsForDrawingGridOrigin/>
  <w:noPunctuationKerning/>
  <w:characterSpacingControl w:val="doNotCompress"/>
  <w:doNotDemarcateInvalidXml/>
  <w:footnotePr>
    <w:footnote w:id="-1"/>
    <w:footnote w:id="0"/>
  </w:footnotePr>
  <w:endnotePr>
    <w:endnote w:id="-1"/>
    <w:endnote w:id="0"/>
  </w:endnotePr>
  <w:compat/>
  <w:rsids>
    <w:rsidRoot w:val="003D70F4"/>
    <w:rsid w:val="00023D0E"/>
    <w:rsid w:val="001B280D"/>
    <w:rsid w:val="002243AD"/>
    <w:rsid w:val="002965E2"/>
    <w:rsid w:val="003D70F4"/>
    <w:rsid w:val="00462266"/>
    <w:rsid w:val="005A1AF6"/>
    <w:rsid w:val="006E31B8"/>
    <w:rsid w:val="00834D44"/>
    <w:rsid w:val="0085452C"/>
    <w:rsid w:val="008D7144"/>
    <w:rsid w:val="009061A0"/>
    <w:rsid w:val="009A125D"/>
    <w:rsid w:val="00B22571"/>
    <w:rsid w:val="00B872CA"/>
    <w:rsid w:val="00BF7971"/>
    <w:rsid w:val="00D14ACA"/>
    <w:rsid w:val="00D309E1"/>
    <w:rsid w:val="00EF0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0F4"/>
    <w:pPr>
      <w:spacing w:after="0" w:line="240" w:lineRule="auto"/>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70F4"/>
    <w:pPr>
      <w:tabs>
        <w:tab w:val="center" w:pos="4419"/>
        <w:tab w:val="right" w:pos="8838"/>
      </w:tabs>
    </w:pPr>
  </w:style>
  <w:style w:type="paragraph" w:styleId="a4">
    <w:name w:val="footer"/>
    <w:basedOn w:val="a"/>
    <w:rsid w:val="003D70F4"/>
    <w:pPr>
      <w:tabs>
        <w:tab w:val="center" w:pos="4419"/>
        <w:tab w:val="right" w:pos="8838"/>
      </w:tabs>
    </w:pPr>
  </w:style>
  <w:style w:type="character" w:styleId="a5">
    <w:name w:val="Hyperlink"/>
    <w:basedOn w:val="a0"/>
    <w:rsid w:val="003D70F4"/>
    <w:rPr>
      <w:color w:val="0000FF"/>
      <w:u w:val="single"/>
    </w:rPr>
  </w:style>
  <w:style w:type="table" w:styleId="a6">
    <w:name w:val="Table Grid"/>
    <w:basedOn w:val="a1"/>
    <w:rsid w:val="003D70F4"/>
    <w:pPr>
      <w:spacing w:after="0" w:line="240" w:lineRule="auto"/>
    </w:pPr>
    <w:tblPr>
      <w:tblCellSpacing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tblCellSpacing w:w="0" w:type="auto"/>
    </w:trPr>
  </w:style>
  <w:style w:type="paragraph" w:styleId="a7">
    <w:name w:val="List Paragraph"/>
    <w:basedOn w:val="a"/>
    <w:qFormat/>
    <w:rsid w:val="003D70F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ud_sp@mail.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7793</Words>
  <Characters>44426</Characters>
  <Application>Microsoft Office Word</Application>
  <DocSecurity>0</DocSecurity>
  <Lines>370</Lines>
  <Paragraphs>104</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52115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2</cp:revision>
  <cp:lastPrinted>2021-06-07T03:07:00Z</cp:lastPrinted>
  <dcterms:created xsi:type="dcterms:W3CDTF">2021-06-07T04:45:00Z</dcterms:created>
  <dcterms:modified xsi:type="dcterms:W3CDTF">2021-06-07T04:45:00Z</dcterms:modified>
  <cp:version>12.0000</cp:version>
</cp:coreProperties>
</file>